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610" w:rsidRDefault="00A01EE7" w:rsidP="00A01EE7">
      <w:pPr>
        <w:spacing w:after="0" w:line="240" w:lineRule="auto"/>
        <w:rPr>
          <w:rFonts w:ascii="Tahoma" w:hAnsi="Tahoma" w:cs="Tahoma"/>
          <w:b/>
        </w:rPr>
      </w:pPr>
      <w:r w:rsidRPr="00A01EE7">
        <w:rPr>
          <w:rFonts w:ascii="Tahoma" w:hAnsi="Tahoma" w:cs="Tahoma"/>
          <w:b/>
        </w:rPr>
        <w:t xml:space="preserve">Note on </w:t>
      </w:r>
      <w:r w:rsidR="0080576F" w:rsidRPr="00A01EE7">
        <w:rPr>
          <w:rFonts w:ascii="Tahoma" w:hAnsi="Tahoma" w:cs="Tahoma"/>
          <w:b/>
        </w:rPr>
        <w:t xml:space="preserve">GL’s </w:t>
      </w:r>
      <w:r w:rsidR="00A61521">
        <w:rPr>
          <w:rFonts w:ascii="Tahoma" w:hAnsi="Tahoma" w:cs="Tahoma"/>
          <w:b/>
        </w:rPr>
        <w:t>work on</w:t>
      </w:r>
      <w:r w:rsidR="001A5806">
        <w:rPr>
          <w:rFonts w:ascii="Tahoma" w:hAnsi="Tahoma" w:cs="Tahoma"/>
          <w:b/>
        </w:rPr>
        <w:t xml:space="preserve"> SRHR, </w:t>
      </w:r>
      <w:r w:rsidR="0080576F" w:rsidRPr="00A01EE7">
        <w:rPr>
          <w:rFonts w:ascii="Tahoma" w:hAnsi="Tahoma" w:cs="Tahoma"/>
          <w:b/>
        </w:rPr>
        <w:t xml:space="preserve">Strategic and Network </w:t>
      </w:r>
      <w:r w:rsidR="001A5806">
        <w:rPr>
          <w:rFonts w:ascii="Tahoma" w:hAnsi="Tahoma" w:cs="Tahoma"/>
          <w:b/>
        </w:rPr>
        <w:t xml:space="preserve">Amplify Change </w:t>
      </w:r>
      <w:r w:rsidR="0080576F" w:rsidRPr="00A01EE7">
        <w:rPr>
          <w:rFonts w:ascii="Tahoma" w:hAnsi="Tahoma" w:cs="Tahoma"/>
          <w:b/>
        </w:rPr>
        <w:t>Grant</w:t>
      </w:r>
      <w:r>
        <w:rPr>
          <w:rFonts w:ascii="Tahoma" w:hAnsi="Tahoma" w:cs="Tahoma"/>
          <w:b/>
        </w:rPr>
        <w:t>/s</w:t>
      </w:r>
      <w:r w:rsidR="007D72FE" w:rsidRPr="00A01EE7">
        <w:rPr>
          <w:rFonts w:ascii="Tahoma" w:hAnsi="Tahoma" w:cs="Tahoma"/>
          <w:b/>
        </w:rPr>
        <w:t xml:space="preserve"> </w:t>
      </w:r>
      <w:r w:rsidR="0080576F" w:rsidRPr="00A01EE7">
        <w:rPr>
          <w:rFonts w:ascii="Tahoma" w:hAnsi="Tahoma" w:cs="Tahoma"/>
          <w:b/>
        </w:rPr>
        <w:t xml:space="preserve"> </w:t>
      </w:r>
    </w:p>
    <w:p w:rsidR="00856687" w:rsidRDefault="00793785" w:rsidP="00A85715">
      <w:pPr>
        <w:jc w:val="both"/>
        <w:rPr>
          <w:rFonts w:ascii="Tahoma" w:hAnsi="Tahoma" w:cs="Tahoma"/>
        </w:rPr>
      </w:pPr>
      <w:r>
        <w:rPr>
          <w:rFonts w:ascii="Tahoma" w:hAnsi="Tahoma" w:cs="Tahoma"/>
        </w:rPr>
        <w:t xml:space="preserve">GL is a Southern African Women’s Rights NGO that has championed the SADC Protocol on Gender and Development, coordinates the Southern African Gender Protocol Alliance, and lobbied for the Protocol to be updated in line with the SDGs. GL </w:t>
      </w:r>
      <w:r w:rsidR="007B72CB">
        <w:rPr>
          <w:rFonts w:ascii="Tahoma" w:hAnsi="Tahoma" w:cs="Tahoma"/>
        </w:rPr>
        <w:t>works to implement the Agenda 2030</w:t>
      </w:r>
      <w:r>
        <w:rPr>
          <w:rFonts w:ascii="Tahoma" w:hAnsi="Tahoma" w:cs="Tahoma"/>
        </w:rPr>
        <w:t xml:space="preserve"> </w:t>
      </w:r>
      <w:r w:rsidR="00A61521">
        <w:rPr>
          <w:rFonts w:ascii="Tahoma" w:hAnsi="Tahoma" w:cs="Tahoma"/>
        </w:rPr>
        <w:t xml:space="preserve">SADC Gender </w:t>
      </w:r>
      <w:r>
        <w:rPr>
          <w:rFonts w:ascii="Tahoma" w:hAnsi="Tahoma" w:cs="Tahoma"/>
        </w:rPr>
        <w:t>Protocol in its governance, media and justice programme</w:t>
      </w:r>
      <w:r w:rsidR="007B72CB">
        <w:rPr>
          <w:rFonts w:ascii="Tahoma" w:hAnsi="Tahoma" w:cs="Tahoma"/>
        </w:rPr>
        <w:t>s</w:t>
      </w:r>
      <w:r>
        <w:rPr>
          <w:rFonts w:ascii="Tahoma" w:hAnsi="Tahoma" w:cs="Tahoma"/>
        </w:rPr>
        <w:t xml:space="preserve">, that include working directly with 425 local councils and 108 media houses </w:t>
      </w:r>
      <w:r w:rsidR="007B72CB">
        <w:rPr>
          <w:rFonts w:ascii="Tahoma" w:hAnsi="Tahoma" w:cs="Tahoma"/>
        </w:rPr>
        <w:t xml:space="preserve">that have opted to become Gender Centres of Excellence (COE) </w:t>
      </w:r>
      <w:r>
        <w:rPr>
          <w:rFonts w:ascii="Tahoma" w:hAnsi="Tahoma" w:cs="Tahoma"/>
        </w:rPr>
        <w:t xml:space="preserve">in 15 SADC countries. </w:t>
      </w:r>
    </w:p>
    <w:p w:rsidR="00B1532F" w:rsidRDefault="00793785" w:rsidP="00A85715">
      <w:pPr>
        <w:jc w:val="both"/>
        <w:rPr>
          <w:rFonts w:ascii="Tahoma" w:hAnsi="Tahoma" w:cs="Tahoma"/>
        </w:rPr>
      </w:pPr>
      <w:r>
        <w:rPr>
          <w:rFonts w:ascii="Tahoma" w:hAnsi="Tahoma" w:cs="Tahoma"/>
        </w:rPr>
        <w:t xml:space="preserve">Attached at </w:t>
      </w:r>
      <w:r w:rsidRPr="007B72CB">
        <w:rPr>
          <w:rFonts w:ascii="Tahoma" w:hAnsi="Tahoma" w:cs="Tahoma"/>
          <w:i/>
        </w:rPr>
        <w:t>Annex A</w:t>
      </w:r>
      <w:r>
        <w:rPr>
          <w:rFonts w:ascii="Tahoma" w:hAnsi="Tahoma" w:cs="Tahoma"/>
        </w:rPr>
        <w:t xml:space="preserve"> is GL’s Theory of Change for its work on SRHR, showing how GL seeks to </w:t>
      </w:r>
      <w:r w:rsidR="00322CA9">
        <w:rPr>
          <w:rFonts w:ascii="Tahoma" w:hAnsi="Tahoma" w:cs="Tahoma"/>
        </w:rPr>
        <w:t>“connect the dots” from local</w:t>
      </w:r>
      <w:r w:rsidR="007B72CB">
        <w:rPr>
          <w:rFonts w:ascii="Tahoma" w:hAnsi="Tahoma" w:cs="Tahoma"/>
        </w:rPr>
        <w:t xml:space="preserve">, to national, to regional to global level. </w:t>
      </w:r>
      <w:r w:rsidR="00856687">
        <w:rPr>
          <w:rFonts w:ascii="Tahoma" w:hAnsi="Tahoma" w:cs="Tahoma"/>
        </w:rPr>
        <w:t xml:space="preserve">Attached at </w:t>
      </w:r>
      <w:r w:rsidR="00856687" w:rsidRPr="001A5806">
        <w:rPr>
          <w:rFonts w:ascii="Tahoma" w:hAnsi="Tahoma" w:cs="Tahoma"/>
          <w:i/>
        </w:rPr>
        <w:t>Annex B</w:t>
      </w:r>
      <w:r w:rsidR="00856687">
        <w:rPr>
          <w:rFonts w:ascii="Tahoma" w:hAnsi="Tahoma" w:cs="Tahoma"/>
        </w:rPr>
        <w:t xml:space="preserve"> </w:t>
      </w:r>
      <w:r w:rsidR="001A5806">
        <w:rPr>
          <w:rFonts w:ascii="Tahoma" w:hAnsi="Tahoma" w:cs="Tahoma"/>
        </w:rPr>
        <w:t xml:space="preserve">is </w:t>
      </w:r>
      <w:r w:rsidR="00B1532F">
        <w:rPr>
          <w:rFonts w:ascii="Tahoma" w:hAnsi="Tahoma" w:cs="Tahoma"/>
        </w:rPr>
        <w:t xml:space="preserve">a matrix showing the complementarity between the proposed activities of the Strategic and Network Grants in the next </w:t>
      </w:r>
      <w:proofErr w:type="gramStart"/>
      <w:r w:rsidR="00B1532F">
        <w:rPr>
          <w:rFonts w:ascii="Tahoma" w:hAnsi="Tahoma" w:cs="Tahoma"/>
        </w:rPr>
        <w:t>phase.</w:t>
      </w:r>
      <w:proofErr w:type="gramEnd"/>
      <w:r w:rsidR="00B1532F">
        <w:rPr>
          <w:rFonts w:ascii="Tahoma" w:hAnsi="Tahoma" w:cs="Tahoma"/>
        </w:rPr>
        <w:t xml:space="preserve"> </w:t>
      </w:r>
      <w:r w:rsidR="007B72CB">
        <w:rPr>
          <w:rFonts w:ascii="Tahoma" w:hAnsi="Tahoma" w:cs="Tahoma"/>
        </w:rPr>
        <w:t xml:space="preserve">Attached at </w:t>
      </w:r>
      <w:r w:rsidR="007B72CB" w:rsidRPr="00CC6DF8">
        <w:rPr>
          <w:rFonts w:ascii="Tahoma" w:hAnsi="Tahoma" w:cs="Tahoma"/>
          <w:i/>
        </w:rPr>
        <w:t>Annex C</w:t>
      </w:r>
      <w:r w:rsidR="007B72CB">
        <w:rPr>
          <w:rFonts w:ascii="Tahoma" w:hAnsi="Tahoma" w:cs="Tahoma"/>
        </w:rPr>
        <w:t xml:space="preserve"> is a matrix of GL country </w:t>
      </w:r>
      <w:r w:rsidR="00CC6DF8">
        <w:rPr>
          <w:rFonts w:ascii="Tahoma" w:hAnsi="Tahoma" w:cs="Tahoma"/>
        </w:rPr>
        <w:t xml:space="preserve">offices and Alliance focal networks, showing how these work together. </w:t>
      </w:r>
    </w:p>
    <w:p w:rsidR="00B1532F" w:rsidRDefault="00B1532F" w:rsidP="00B1532F">
      <w:pPr>
        <w:jc w:val="both"/>
        <w:rPr>
          <w:rFonts w:ascii="Tahoma" w:hAnsi="Tahoma" w:cs="Tahoma"/>
        </w:rPr>
      </w:pPr>
      <w:r>
        <w:rPr>
          <w:rFonts w:ascii="Tahoma" w:hAnsi="Tahoma" w:cs="Tahoma"/>
        </w:rPr>
        <w:t>GL’s first A</w:t>
      </w:r>
      <w:r w:rsidR="00A61521">
        <w:rPr>
          <w:rFonts w:ascii="Tahoma" w:hAnsi="Tahoma" w:cs="Tahoma"/>
        </w:rPr>
        <w:t xml:space="preserve">mplify </w:t>
      </w:r>
      <w:r>
        <w:rPr>
          <w:rFonts w:ascii="Tahoma" w:hAnsi="Tahoma" w:cs="Tahoma"/>
        </w:rPr>
        <w:t>C</w:t>
      </w:r>
      <w:r w:rsidR="00A61521">
        <w:rPr>
          <w:rFonts w:ascii="Tahoma" w:hAnsi="Tahoma" w:cs="Tahoma"/>
        </w:rPr>
        <w:t>hange (AC)</w:t>
      </w:r>
      <w:r>
        <w:rPr>
          <w:rFonts w:ascii="Tahoma" w:hAnsi="Tahoma" w:cs="Tahoma"/>
        </w:rPr>
        <w:t xml:space="preserve"> </w:t>
      </w:r>
      <w:r w:rsidRPr="00CC6DF8">
        <w:rPr>
          <w:rFonts w:ascii="Tahoma" w:hAnsi="Tahoma" w:cs="Tahoma"/>
          <w:b/>
        </w:rPr>
        <w:t>Networking Grant 2016 to 2018</w:t>
      </w:r>
      <w:r>
        <w:rPr>
          <w:rFonts w:ascii="Tahoma" w:hAnsi="Tahoma" w:cs="Tahoma"/>
          <w:b/>
        </w:rPr>
        <w:t xml:space="preserve"> </w:t>
      </w:r>
      <w:r>
        <w:rPr>
          <w:rFonts w:ascii="Tahoma" w:hAnsi="Tahoma" w:cs="Tahoma"/>
        </w:rPr>
        <w:t>is entitled “</w:t>
      </w:r>
      <w:r w:rsidRPr="00856687">
        <w:rPr>
          <w:rFonts w:ascii="Tahoma" w:hAnsi="Tahoma" w:cs="Tahoma"/>
          <w:b/>
        </w:rPr>
        <w:t>Strengthening SRHR in the SADC Region Post 2015.”</w:t>
      </w:r>
      <w:r w:rsidR="001E03E4">
        <w:rPr>
          <w:rFonts w:ascii="Tahoma" w:hAnsi="Tahoma" w:cs="Tahoma"/>
        </w:rPr>
        <w:t xml:space="preserve"> This aimed</w:t>
      </w:r>
      <w:r>
        <w:rPr>
          <w:rFonts w:ascii="Tahoma" w:hAnsi="Tahoma" w:cs="Tahoma"/>
        </w:rPr>
        <w:t xml:space="preserve"> to: </w:t>
      </w:r>
      <w:r w:rsidR="00A61521">
        <w:rPr>
          <w:rFonts w:ascii="Tahoma" w:hAnsi="Tahoma" w:cs="Tahoma"/>
        </w:rPr>
        <w:t>“</w:t>
      </w:r>
      <w:r>
        <w:rPr>
          <w:rFonts w:ascii="Tahoma" w:hAnsi="Tahoma" w:cs="Tahoma"/>
        </w:rPr>
        <w:t xml:space="preserve">establish an SRHR working group within the Alliance to gather evidence; advocate for strong SRHR provisions in the Post 2015 SADC Gender Protocol; track implementation and share best practices through SADC </w:t>
      </w:r>
      <w:proofErr w:type="spellStart"/>
      <w:r>
        <w:rPr>
          <w:rFonts w:ascii="Tahoma" w:hAnsi="Tahoma" w:cs="Tahoma"/>
        </w:rPr>
        <w:t>Protocl@Work</w:t>
      </w:r>
      <w:proofErr w:type="spellEnd"/>
      <w:r>
        <w:rPr>
          <w:rFonts w:ascii="Tahoma" w:hAnsi="Tahoma" w:cs="Tahoma"/>
        </w:rPr>
        <w:t xml:space="preserve"> summits.” The Alliance succeeded in lobbying for the inclusion of SRHR in the </w:t>
      </w:r>
      <w:r w:rsidR="001E03E4">
        <w:rPr>
          <w:rFonts w:ascii="Tahoma" w:hAnsi="Tahoma" w:cs="Tahoma"/>
        </w:rPr>
        <w:t xml:space="preserve">Post 2015 Protocol; established an SRHR cluster; undertook training of members on SRHR led by cluster lead SAFAIDS and </w:t>
      </w:r>
      <w:r w:rsidR="00A61521">
        <w:rPr>
          <w:rFonts w:ascii="Tahoma" w:hAnsi="Tahoma" w:cs="Tahoma"/>
        </w:rPr>
        <w:t xml:space="preserve">on </w:t>
      </w:r>
      <w:proofErr w:type="spellStart"/>
      <w:r w:rsidR="001E03E4">
        <w:rPr>
          <w:rFonts w:ascii="Tahoma" w:hAnsi="Tahoma" w:cs="Tahoma"/>
        </w:rPr>
        <w:t>LGBTI</w:t>
      </w:r>
      <w:proofErr w:type="spellEnd"/>
      <w:r w:rsidR="001E03E4">
        <w:rPr>
          <w:rFonts w:ascii="Tahoma" w:hAnsi="Tahoma" w:cs="Tahoma"/>
        </w:rPr>
        <w:t xml:space="preserve"> led by GL; strengthened tracking of SRHR in the annual Barometer; identified key campaigns; established a Young Women’s Network; gathered </w:t>
      </w:r>
      <w:r w:rsidR="00A61521">
        <w:rPr>
          <w:rFonts w:ascii="Tahoma" w:hAnsi="Tahoma" w:cs="Tahoma"/>
        </w:rPr>
        <w:t xml:space="preserve">and analysed </w:t>
      </w:r>
      <w:r w:rsidR="001E03E4">
        <w:rPr>
          <w:rFonts w:ascii="Tahoma" w:hAnsi="Tahoma" w:cs="Tahoma"/>
        </w:rPr>
        <w:t>over 300 Good Practices on SRHR at the an</w:t>
      </w:r>
      <w:r w:rsidR="0066195F">
        <w:rPr>
          <w:rFonts w:ascii="Tahoma" w:hAnsi="Tahoma" w:cs="Tahoma"/>
        </w:rPr>
        <w:t xml:space="preserve">nual SADC Protocol@Work summits (see </w:t>
      </w:r>
      <w:r w:rsidR="0066195F" w:rsidRPr="0066195F">
        <w:rPr>
          <w:rFonts w:ascii="Tahoma" w:hAnsi="Tahoma" w:cs="Tahoma"/>
          <w:i/>
        </w:rPr>
        <w:t>Annex D</w:t>
      </w:r>
      <w:r w:rsidR="0066195F">
        <w:rPr>
          <w:rFonts w:ascii="Tahoma" w:hAnsi="Tahoma" w:cs="Tahoma"/>
        </w:rPr>
        <w:t xml:space="preserve">). </w:t>
      </w:r>
      <w:r w:rsidR="001E03E4">
        <w:rPr>
          <w:rFonts w:ascii="Tahoma" w:hAnsi="Tahoma" w:cs="Tahoma"/>
        </w:rPr>
        <w:t xml:space="preserve">   </w:t>
      </w:r>
      <w:r>
        <w:rPr>
          <w:rFonts w:ascii="Tahoma" w:hAnsi="Tahoma" w:cs="Tahoma"/>
        </w:rPr>
        <w:t xml:space="preserve">     </w:t>
      </w:r>
    </w:p>
    <w:tbl>
      <w:tblPr>
        <w:tblStyle w:val="TableGrid"/>
        <w:tblW w:w="0" w:type="auto"/>
        <w:tblLook w:val="04A0" w:firstRow="1" w:lastRow="0" w:firstColumn="1" w:lastColumn="0" w:noHBand="0" w:noVBand="1"/>
      </w:tblPr>
      <w:tblGrid>
        <w:gridCol w:w="1062"/>
        <w:gridCol w:w="1181"/>
        <w:gridCol w:w="1414"/>
        <w:gridCol w:w="1647"/>
        <w:gridCol w:w="682"/>
        <w:gridCol w:w="600"/>
        <w:gridCol w:w="563"/>
        <w:gridCol w:w="552"/>
        <w:gridCol w:w="551"/>
        <w:gridCol w:w="495"/>
        <w:gridCol w:w="495"/>
      </w:tblGrid>
      <w:tr w:rsidR="00686104" w:rsidTr="00A01EE7">
        <w:tc>
          <w:tcPr>
            <w:tcW w:w="5986" w:type="dxa"/>
            <w:gridSpan w:val="5"/>
            <w:shd w:val="clear" w:color="auto" w:fill="9BBB59" w:themeFill="accent3"/>
          </w:tcPr>
          <w:p w:rsidR="00686104" w:rsidRPr="00A01EE7" w:rsidRDefault="00B1532F">
            <w:pPr>
              <w:rPr>
                <w:rFonts w:ascii="Tahoma" w:hAnsi="Tahoma" w:cs="Tahoma"/>
                <w:b/>
              </w:rPr>
            </w:pPr>
            <w:r>
              <w:rPr>
                <w:rFonts w:ascii="Tahoma" w:hAnsi="Tahoma" w:cs="Tahoma"/>
              </w:rPr>
              <w:t xml:space="preserve"> </w:t>
            </w:r>
            <w:r w:rsidR="007E753E">
              <w:rPr>
                <w:rFonts w:ascii="Tahoma" w:hAnsi="Tahoma" w:cs="Tahoma"/>
                <w:b/>
                <w:noProof/>
                <w:lang w:eastAsia="en-GB"/>
              </w:rPr>
              <mc:AlternateContent>
                <mc:Choice Requires="wps">
                  <w:drawing>
                    <wp:anchor distT="0" distB="0" distL="114300" distR="114300" simplePos="0" relativeHeight="251666432" behindDoc="0" locked="0" layoutInCell="1" allowOverlap="1">
                      <wp:simplePos x="0" y="0"/>
                      <wp:positionH relativeFrom="column">
                        <wp:posOffset>3028151</wp:posOffset>
                      </wp:positionH>
                      <wp:positionV relativeFrom="paragraph">
                        <wp:posOffset>29763</wp:posOffset>
                      </wp:positionV>
                      <wp:extent cx="731520" cy="1216152"/>
                      <wp:effectExtent l="0" t="0" r="11430" b="22225"/>
                      <wp:wrapNone/>
                      <wp:docPr id="7" name="Curved Right Arrow 7"/>
                      <wp:cNvGraphicFramePr/>
                      <a:graphic xmlns:a="http://schemas.openxmlformats.org/drawingml/2006/main">
                        <a:graphicData uri="http://schemas.microsoft.com/office/word/2010/wordprocessingShape">
                          <wps:wsp>
                            <wps:cNvSpPr/>
                            <wps:spPr>
                              <a:xfrm>
                                <a:off x="0" y="0"/>
                                <a:ext cx="731520" cy="1216152"/>
                              </a:xfrm>
                              <a:prstGeom prst="curved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238.45pt;margin-top:2.35pt;width:57.6pt;height:9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" adj="15104,19976,16200" fillcolor="#f2dbdb [661]" strokecolor="#243f60 [1604]" strokeweight="2pt"/>
                  </w:pict>
                </mc:Fallback>
              </mc:AlternateContent>
            </w:r>
            <w:r w:rsidR="00686104" w:rsidRPr="00A01EE7">
              <w:rPr>
                <w:rFonts w:ascii="Tahoma" w:hAnsi="Tahoma" w:cs="Tahoma"/>
                <w:b/>
              </w:rPr>
              <w:t xml:space="preserve">STRATEGIC – VOICE AND CHOICE FROM LOCAL TO REGIONAL ACTION </w:t>
            </w:r>
          </w:p>
        </w:tc>
        <w:tc>
          <w:tcPr>
            <w:tcW w:w="3256" w:type="dxa"/>
            <w:gridSpan w:val="6"/>
            <w:shd w:val="clear" w:color="auto" w:fill="E5DFEC" w:themeFill="accent4" w:themeFillTint="33"/>
          </w:tcPr>
          <w:p w:rsidR="00686104" w:rsidRDefault="00686104">
            <w:pPr>
              <w:rPr>
                <w:rFonts w:ascii="Tahoma" w:hAnsi="Tahoma" w:cs="Tahoma"/>
              </w:rPr>
            </w:pPr>
            <w:r w:rsidRPr="00A01EE7">
              <w:rPr>
                <w:rFonts w:ascii="Tahoma" w:hAnsi="Tahoma" w:cs="Tahoma"/>
                <w:b/>
              </w:rPr>
              <w:t>NETWORKING GRANT</w:t>
            </w:r>
            <w:r>
              <w:rPr>
                <w:rFonts w:ascii="Tahoma" w:hAnsi="Tahoma" w:cs="Tahoma"/>
              </w:rPr>
              <w:t xml:space="preserve"> </w:t>
            </w:r>
            <w:r w:rsidR="002A0AD0">
              <w:rPr>
                <w:rFonts w:ascii="Tahoma" w:hAnsi="Tahoma" w:cs="Tahoma"/>
              </w:rPr>
              <w:t>- #</w:t>
            </w:r>
            <w:proofErr w:type="spellStart"/>
            <w:r w:rsidR="002A0AD0" w:rsidRPr="00B1532F">
              <w:rPr>
                <w:rFonts w:ascii="Tahoma" w:hAnsi="Tahoma" w:cs="Tahoma"/>
                <w:b/>
              </w:rPr>
              <w:t>SheDecides</w:t>
            </w:r>
            <w:proofErr w:type="spellEnd"/>
            <w:r w:rsidR="002A0AD0" w:rsidRPr="00B1532F">
              <w:rPr>
                <w:rFonts w:ascii="Tahoma" w:hAnsi="Tahoma" w:cs="Tahoma"/>
                <w:b/>
              </w:rPr>
              <w:t>: Strengthening SRHR Networks and campaigns in Southern Africa</w:t>
            </w:r>
            <w:r w:rsidR="002A0AD0">
              <w:rPr>
                <w:rFonts w:ascii="Tahoma" w:hAnsi="Tahoma" w:cs="Tahoma"/>
              </w:rPr>
              <w:t xml:space="preserve"> </w:t>
            </w:r>
          </w:p>
        </w:tc>
      </w:tr>
      <w:tr w:rsidR="0061639B" w:rsidTr="00A01EE7">
        <w:tc>
          <w:tcPr>
            <w:tcW w:w="1062" w:type="dxa"/>
            <w:shd w:val="clear" w:color="auto" w:fill="76923C" w:themeFill="accent3" w:themeFillShade="BF"/>
          </w:tcPr>
          <w:p w:rsidR="0061639B" w:rsidRDefault="002A0AD0">
            <w:pPr>
              <w:rPr>
                <w:rFonts w:ascii="Tahoma" w:hAnsi="Tahoma" w:cs="Tahoma"/>
              </w:rPr>
            </w:pPr>
            <w:r>
              <w:rPr>
                <w:rFonts w:ascii="Tahoma" w:hAnsi="Tahoma" w:cs="Tahoma"/>
                <w:noProof/>
                <w:lang w:eastAsia="en-GB"/>
              </w:rPr>
              <mc:AlternateContent>
                <mc:Choice Requires="wps">
                  <w:drawing>
                    <wp:anchor distT="0" distB="0" distL="114300" distR="114300" simplePos="0" relativeHeight="251663360" behindDoc="0" locked="0" layoutInCell="1" allowOverlap="1" wp14:anchorId="6523E4F8" wp14:editId="2D13E3FF">
                      <wp:simplePos x="0" y="0"/>
                      <wp:positionH relativeFrom="column">
                        <wp:posOffset>217805</wp:posOffset>
                      </wp:positionH>
                      <wp:positionV relativeFrom="paragraph">
                        <wp:posOffset>85725</wp:posOffset>
                      </wp:positionV>
                      <wp:extent cx="484505" cy="314325"/>
                      <wp:effectExtent l="38100" t="19050" r="10795" b="28575"/>
                      <wp:wrapNone/>
                      <wp:docPr id="3" name="Up Arrow 3"/>
                      <wp:cNvGraphicFramePr/>
                      <a:graphic xmlns:a="http://schemas.openxmlformats.org/drawingml/2006/main">
                        <a:graphicData uri="http://schemas.microsoft.com/office/word/2010/wordprocessingShape">
                          <wps:wsp>
                            <wps:cNvSpPr/>
                            <wps:spPr>
                              <a:xfrm>
                                <a:off x="0" y="0"/>
                                <a:ext cx="484505" cy="314325"/>
                              </a:xfrm>
                              <a:prstGeom prst="upArrow">
                                <a:avLst/>
                              </a:prstGeom>
                              <a:solidFill>
                                <a:srgbClr val="9BBB59">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7.15pt;margin-top:6.75pt;width:38.1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" adj="10800" fillcolor="#ebf1de" strokecolor="#385d8a" strokeweight="2pt"/>
                  </w:pict>
                </mc:Fallback>
              </mc:AlternateContent>
            </w:r>
            <w:r w:rsidR="0061639B">
              <w:rPr>
                <w:rFonts w:ascii="Tahoma" w:hAnsi="Tahoma" w:cs="Tahoma"/>
              </w:rPr>
              <w:t xml:space="preserve">GLOBAL </w:t>
            </w:r>
          </w:p>
        </w:tc>
        <w:tc>
          <w:tcPr>
            <w:tcW w:w="4924" w:type="dxa"/>
            <w:gridSpan w:val="4"/>
            <w:shd w:val="clear" w:color="auto" w:fill="76923C" w:themeFill="accent3" w:themeFillShade="BF"/>
          </w:tcPr>
          <w:p w:rsidR="0061639B" w:rsidRDefault="0061639B">
            <w:pPr>
              <w:rPr>
                <w:rFonts w:ascii="Tahoma" w:hAnsi="Tahoma" w:cs="Tahoma"/>
              </w:rPr>
            </w:pPr>
            <w:r>
              <w:rPr>
                <w:rFonts w:ascii="Tahoma" w:hAnsi="Tahoma" w:cs="Tahoma"/>
              </w:rPr>
              <w:t xml:space="preserve">SDG 5 – Universal access to SRHR </w:t>
            </w:r>
          </w:p>
        </w:tc>
        <w:tc>
          <w:tcPr>
            <w:tcW w:w="600" w:type="dxa"/>
            <w:vMerge w:val="restart"/>
            <w:shd w:val="clear" w:color="auto" w:fill="E5DFEC" w:themeFill="accent4" w:themeFillTint="33"/>
            <w:textDirection w:val="btLr"/>
          </w:tcPr>
          <w:p w:rsidR="0061639B" w:rsidRDefault="0061639B" w:rsidP="008F75FD">
            <w:pPr>
              <w:ind w:left="113" w:right="113"/>
              <w:rPr>
                <w:rFonts w:ascii="Tahoma" w:hAnsi="Tahoma" w:cs="Tahoma"/>
              </w:rPr>
            </w:pPr>
            <w:r>
              <w:rPr>
                <w:rFonts w:ascii="Tahoma" w:hAnsi="Tahoma" w:cs="Tahoma"/>
              </w:rPr>
              <w:t xml:space="preserve">Strengthen the SRHR network – </w:t>
            </w:r>
            <w:proofErr w:type="spellStart"/>
            <w:r>
              <w:rPr>
                <w:rFonts w:ascii="Tahoma" w:hAnsi="Tahoma" w:cs="Tahoma"/>
              </w:rPr>
              <w:t>LGBTI</w:t>
            </w:r>
            <w:proofErr w:type="spellEnd"/>
            <w:r>
              <w:rPr>
                <w:rFonts w:ascii="Tahoma" w:hAnsi="Tahoma" w:cs="Tahoma"/>
              </w:rPr>
              <w:t xml:space="preserve">, FBOS </w:t>
            </w:r>
          </w:p>
        </w:tc>
        <w:tc>
          <w:tcPr>
            <w:tcW w:w="563" w:type="dxa"/>
            <w:vMerge w:val="restart"/>
            <w:shd w:val="clear" w:color="auto" w:fill="CCC0D9" w:themeFill="accent4" w:themeFillTint="66"/>
            <w:textDirection w:val="btLr"/>
          </w:tcPr>
          <w:p w:rsidR="0061639B" w:rsidRDefault="0061639B" w:rsidP="008F75FD">
            <w:pPr>
              <w:ind w:left="113" w:right="113"/>
              <w:rPr>
                <w:rFonts w:ascii="Tahoma" w:hAnsi="Tahoma" w:cs="Tahoma"/>
              </w:rPr>
            </w:pPr>
            <w:r>
              <w:rPr>
                <w:rFonts w:ascii="Tahoma" w:hAnsi="Tahoma" w:cs="Tahoma"/>
              </w:rPr>
              <w:t xml:space="preserve">Capacity building for smaller organisations </w:t>
            </w:r>
          </w:p>
        </w:tc>
        <w:tc>
          <w:tcPr>
            <w:tcW w:w="552" w:type="dxa"/>
            <w:vMerge w:val="restart"/>
            <w:shd w:val="clear" w:color="auto" w:fill="B2A1C7" w:themeFill="accent4" w:themeFillTint="99"/>
            <w:textDirection w:val="btLr"/>
          </w:tcPr>
          <w:p w:rsidR="0061639B" w:rsidRDefault="0061639B" w:rsidP="00BE0565">
            <w:pPr>
              <w:ind w:left="113" w:right="113"/>
              <w:rPr>
                <w:rFonts w:ascii="Tahoma" w:hAnsi="Tahoma" w:cs="Tahoma"/>
              </w:rPr>
            </w:pPr>
            <w:r>
              <w:rPr>
                <w:rFonts w:ascii="Tahoma" w:hAnsi="Tahoma" w:cs="Tahoma"/>
              </w:rPr>
              <w:t>Strengthen advocacy by tracking the money!</w:t>
            </w:r>
          </w:p>
        </w:tc>
        <w:tc>
          <w:tcPr>
            <w:tcW w:w="551" w:type="dxa"/>
            <w:vMerge w:val="restart"/>
            <w:shd w:val="clear" w:color="auto" w:fill="B2A1C7" w:themeFill="accent4" w:themeFillTint="99"/>
            <w:textDirection w:val="btLr"/>
          </w:tcPr>
          <w:p w:rsidR="0061639B" w:rsidRDefault="0061639B" w:rsidP="00BE0565">
            <w:pPr>
              <w:ind w:left="113" w:right="113"/>
              <w:rPr>
                <w:rFonts w:ascii="Tahoma" w:hAnsi="Tahoma" w:cs="Tahoma"/>
              </w:rPr>
            </w:pPr>
            <w:r>
              <w:rPr>
                <w:rFonts w:ascii="Tahoma" w:hAnsi="Tahoma" w:cs="Tahoma"/>
              </w:rPr>
              <w:t>Specific campaigns – #</w:t>
            </w:r>
            <w:proofErr w:type="spellStart"/>
            <w:r>
              <w:rPr>
                <w:rFonts w:ascii="Tahoma" w:hAnsi="Tahoma" w:cs="Tahoma"/>
              </w:rPr>
              <w:t>SheDecidesSouthernAfrica</w:t>
            </w:r>
            <w:proofErr w:type="spellEnd"/>
          </w:p>
        </w:tc>
        <w:tc>
          <w:tcPr>
            <w:tcW w:w="495" w:type="dxa"/>
            <w:vMerge w:val="restart"/>
            <w:shd w:val="clear" w:color="auto" w:fill="8064A2" w:themeFill="accent4"/>
            <w:textDirection w:val="btLr"/>
          </w:tcPr>
          <w:p w:rsidR="0061639B" w:rsidRDefault="0061639B" w:rsidP="00BE0565">
            <w:pPr>
              <w:ind w:left="113" w:right="113"/>
              <w:rPr>
                <w:rFonts w:ascii="Tahoma" w:hAnsi="Tahoma" w:cs="Tahoma"/>
              </w:rPr>
            </w:pPr>
            <w:r>
              <w:rPr>
                <w:rFonts w:ascii="Tahoma" w:hAnsi="Tahoma" w:cs="Tahoma"/>
              </w:rPr>
              <w:t xml:space="preserve">Media as partner, train, engage </w:t>
            </w:r>
          </w:p>
        </w:tc>
        <w:tc>
          <w:tcPr>
            <w:tcW w:w="495" w:type="dxa"/>
            <w:vMerge w:val="restart"/>
            <w:shd w:val="clear" w:color="auto" w:fill="403152" w:themeFill="accent4" w:themeFillShade="80"/>
            <w:textDirection w:val="btLr"/>
          </w:tcPr>
          <w:p w:rsidR="0061639B" w:rsidRDefault="007E753E" w:rsidP="00BE0565">
            <w:pPr>
              <w:ind w:left="113" w:right="113"/>
              <w:rPr>
                <w:rFonts w:ascii="Tahoma" w:hAnsi="Tahoma" w:cs="Tahoma"/>
              </w:rPr>
            </w:pPr>
            <w:r>
              <w:rPr>
                <w:rFonts w:ascii="Tahoma" w:hAnsi="Tahoma" w:cs="Tahoma"/>
                <w:noProof/>
                <w:lang w:eastAsia="en-GB"/>
              </w:rPr>
              <mc:AlternateContent>
                <mc:Choice Requires="wps">
                  <w:drawing>
                    <wp:anchor distT="0" distB="0" distL="114300" distR="114300" simplePos="0" relativeHeight="251667456" behindDoc="0" locked="0" layoutInCell="1" allowOverlap="1" wp14:anchorId="4ABC244F" wp14:editId="2EC9C870">
                      <wp:simplePos x="0" y="0"/>
                      <wp:positionH relativeFrom="column">
                        <wp:posOffset>314960</wp:posOffset>
                      </wp:positionH>
                      <wp:positionV relativeFrom="paragraph">
                        <wp:posOffset>-1024255</wp:posOffset>
                      </wp:positionV>
                      <wp:extent cx="731520" cy="1216152"/>
                      <wp:effectExtent l="0" t="0" r="11430" b="22225"/>
                      <wp:wrapNone/>
                      <wp:docPr id="8" name="Curved Left Arrow 8"/>
                      <wp:cNvGraphicFramePr/>
                      <a:graphic xmlns:a="http://schemas.openxmlformats.org/drawingml/2006/main">
                        <a:graphicData uri="http://schemas.microsoft.com/office/word/2010/wordprocessingShape">
                          <wps:wsp>
                            <wps:cNvSpPr/>
                            <wps:spPr>
                              <a:xfrm>
                                <a:off x="0" y="0"/>
                                <a:ext cx="731520" cy="1216152"/>
                              </a:xfrm>
                              <a:prstGeom prst="curvedLef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 o:spid="_x0000_s1026" type="#_x0000_t103" style="position:absolute;margin-left:24.8pt;margin-top:-80.65pt;width:57.6pt;height: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" adj="15104,19976,5400" fillcolor="#f2dbdb [661]" strokecolor="#243f60 [1604]" strokeweight="2pt"/>
                  </w:pict>
                </mc:Fallback>
              </mc:AlternateContent>
            </w:r>
            <w:r w:rsidR="0061639B">
              <w:rPr>
                <w:rFonts w:ascii="Tahoma" w:hAnsi="Tahoma" w:cs="Tahoma"/>
              </w:rPr>
              <w:t xml:space="preserve">Community of Practice </w:t>
            </w:r>
          </w:p>
        </w:tc>
      </w:tr>
      <w:tr w:rsidR="0061639B" w:rsidTr="00A01EE7">
        <w:trPr>
          <w:cantSplit/>
          <w:trHeight w:val="1398"/>
        </w:trPr>
        <w:tc>
          <w:tcPr>
            <w:tcW w:w="1062" w:type="dxa"/>
            <w:shd w:val="clear" w:color="auto" w:fill="C2D69B" w:themeFill="accent3" w:themeFillTint="99"/>
            <w:textDirection w:val="btLr"/>
          </w:tcPr>
          <w:p w:rsidR="0061639B" w:rsidRDefault="0061639B" w:rsidP="00107D02">
            <w:pPr>
              <w:ind w:left="113" w:right="113"/>
              <w:rPr>
                <w:rFonts w:ascii="Tahoma" w:hAnsi="Tahoma" w:cs="Tahoma"/>
              </w:rPr>
            </w:pPr>
            <w:r>
              <w:rPr>
                <w:rFonts w:ascii="Tahoma" w:hAnsi="Tahoma" w:cs="Tahoma"/>
              </w:rPr>
              <w:t xml:space="preserve">REGIONAL </w:t>
            </w:r>
          </w:p>
        </w:tc>
        <w:tc>
          <w:tcPr>
            <w:tcW w:w="4924" w:type="dxa"/>
            <w:gridSpan w:val="4"/>
            <w:shd w:val="clear" w:color="auto" w:fill="C2D69B" w:themeFill="accent3" w:themeFillTint="99"/>
          </w:tcPr>
          <w:p w:rsidR="0061639B" w:rsidRDefault="0061639B">
            <w:pPr>
              <w:rPr>
                <w:rFonts w:ascii="Tahoma" w:hAnsi="Tahoma" w:cs="Tahoma"/>
              </w:rPr>
            </w:pPr>
            <w:r>
              <w:rPr>
                <w:rFonts w:ascii="Tahoma" w:hAnsi="Tahoma" w:cs="Tahoma"/>
              </w:rPr>
              <w:t xml:space="preserve">Regional – SADC Protocol on Gender and Development – Articles. Annual Barometer to track progress. Regional cluster led by SAFAIDS. </w:t>
            </w:r>
          </w:p>
        </w:tc>
        <w:tc>
          <w:tcPr>
            <w:tcW w:w="600" w:type="dxa"/>
            <w:vMerge/>
            <w:shd w:val="clear" w:color="auto" w:fill="E5DFEC" w:themeFill="accent4" w:themeFillTint="33"/>
          </w:tcPr>
          <w:p w:rsidR="0061639B" w:rsidRDefault="0061639B">
            <w:pPr>
              <w:rPr>
                <w:rFonts w:ascii="Tahoma" w:hAnsi="Tahoma" w:cs="Tahoma"/>
              </w:rPr>
            </w:pPr>
          </w:p>
        </w:tc>
        <w:tc>
          <w:tcPr>
            <w:tcW w:w="563" w:type="dxa"/>
            <w:vMerge/>
            <w:shd w:val="clear" w:color="auto" w:fill="CCC0D9" w:themeFill="accent4" w:themeFillTint="66"/>
          </w:tcPr>
          <w:p w:rsidR="0061639B" w:rsidRDefault="0061639B">
            <w:pPr>
              <w:rPr>
                <w:rFonts w:ascii="Tahoma" w:hAnsi="Tahoma" w:cs="Tahoma"/>
              </w:rPr>
            </w:pPr>
          </w:p>
        </w:tc>
        <w:tc>
          <w:tcPr>
            <w:tcW w:w="552" w:type="dxa"/>
            <w:vMerge/>
            <w:shd w:val="clear" w:color="auto" w:fill="B2A1C7" w:themeFill="accent4" w:themeFillTint="99"/>
          </w:tcPr>
          <w:p w:rsidR="0061639B" w:rsidRDefault="0061639B">
            <w:pPr>
              <w:rPr>
                <w:rFonts w:ascii="Tahoma" w:hAnsi="Tahoma" w:cs="Tahoma"/>
              </w:rPr>
            </w:pPr>
          </w:p>
        </w:tc>
        <w:tc>
          <w:tcPr>
            <w:tcW w:w="551" w:type="dxa"/>
            <w:vMerge/>
            <w:shd w:val="clear" w:color="auto" w:fill="B2A1C7" w:themeFill="accent4" w:themeFillTint="99"/>
          </w:tcPr>
          <w:p w:rsidR="0061639B" w:rsidRDefault="0061639B">
            <w:pPr>
              <w:rPr>
                <w:rFonts w:ascii="Tahoma" w:hAnsi="Tahoma" w:cs="Tahoma"/>
              </w:rPr>
            </w:pPr>
          </w:p>
        </w:tc>
        <w:tc>
          <w:tcPr>
            <w:tcW w:w="495" w:type="dxa"/>
            <w:vMerge/>
            <w:shd w:val="clear" w:color="auto" w:fill="8064A2" w:themeFill="accent4"/>
          </w:tcPr>
          <w:p w:rsidR="0061639B" w:rsidRDefault="0061639B">
            <w:pPr>
              <w:rPr>
                <w:rFonts w:ascii="Tahoma" w:hAnsi="Tahoma" w:cs="Tahoma"/>
              </w:rPr>
            </w:pPr>
          </w:p>
        </w:tc>
        <w:tc>
          <w:tcPr>
            <w:tcW w:w="495" w:type="dxa"/>
            <w:vMerge/>
            <w:shd w:val="clear" w:color="auto" w:fill="403152" w:themeFill="accent4" w:themeFillShade="80"/>
          </w:tcPr>
          <w:p w:rsidR="0061639B" w:rsidRDefault="0061639B">
            <w:pPr>
              <w:rPr>
                <w:rFonts w:ascii="Tahoma" w:hAnsi="Tahoma" w:cs="Tahoma"/>
              </w:rPr>
            </w:pPr>
          </w:p>
        </w:tc>
      </w:tr>
      <w:tr w:rsidR="0061639B" w:rsidTr="00A01EE7">
        <w:trPr>
          <w:cantSplit/>
          <w:trHeight w:val="1296"/>
        </w:trPr>
        <w:tc>
          <w:tcPr>
            <w:tcW w:w="1062" w:type="dxa"/>
            <w:shd w:val="clear" w:color="auto" w:fill="D6E3BC" w:themeFill="accent3" w:themeFillTint="66"/>
            <w:textDirection w:val="btLr"/>
          </w:tcPr>
          <w:p w:rsidR="0061639B" w:rsidRDefault="00856687" w:rsidP="00107D02">
            <w:pPr>
              <w:ind w:left="113" w:right="113"/>
              <w:rPr>
                <w:rFonts w:ascii="Tahoma" w:hAnsi="Tahoma" w:cs="Tahoma"/>
              </w:rPr>
            </w:pPr>
            <w:r>
              <w:rPr>
                <w:rFonts w:ascii="Tahoma" w:hAnsi="Tahoma" w:cs="Tahoma"/>
                <w:noProof/>
                <w:lang w:eastAsia="en-GB"/>
              </w:rPr>
              <mc:AlternateContent>
                <mc:Choice Requires="wps">
                  <w:drawing>
                    <wp:anchor distT="0" distB="0" distL="114300" distR="114300" simplePos="0" relativeHeight="251665408" behindDoc="0" locked="0" layoutInCell="1" allowOverlap="1" wp14:anchorId="3D46D32B" wp14:editId="611FFF32">
                      <wp:simplePos x="0" y="0"/>
                      <wp:positionH relativeFrom="column">
                        <wp:posOffset>166370</wp:posOffset>
                      </wp:positionH>
                      <wp:positionV relativeFrom="paragraph">
                        <wp:posOffset>689037</wp:posOffset>
                      </wp:positionV>
                      <wp:extent cx="484505" cy="314325"/>
                      <wp:effectExtent l="38100" t="19050" r="10795" b="28575"/>
                      <wp:wrapNone/>
                      <wp:docPr id="5" name="Up Arrow 5"/>
                      <wp:cNvGraphicFramePr/>
                      <a:graphic xmlns:a="http://schemas.openxmlformats.org/drawingml/2006/main">
                        <a:graphicData uri="http://schemas.microsoft.com/office/word/2010/wordprocessingShape">
                          <wps:wsp>
                            <wps:cNvSpPr/>
                            <wps:spPr>
                              <a:xfrm>
                                <a:off x="0" y="0"/>
                                <a:ext cx="484505" cy="314325"/>
                              </a:xfrm>
                              <a:prstGeom prst="upArrow">
                                <a:avLst/>
                              </a:prstGeom>
                              <a:solidFill>
                                <a:srgbClr val="9BBB59">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3.1pt;margin-top:54.25pt;width:38.15pt;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" adj="10800" fillcolor="#ebf1de" strokecolor="#385d8a" strokeweight="2pt"/>
                  </w:pict>
                </mc:Fallback>
              </mc:AlternateContent>
            </w:r>
            <w:r w:rsidR="00CC6DF8">
              <w:rPr>
                <w:rFonts w:ascii="Tahoma" w:hAnsi="Tahoma" w:cs="Tahoma"/>
                <w:noProof/>
                <w:lang w:eastAsia="en-GB"/>
              </w:rPr>
              <mc:AlternateContent>
                <mc:Choice Requires="wps">
                  <w:drawing>
                    <wp:anchor distT="0" distB="0" distL="114300" distR="114300" simplePos="0" relativeHeight="251659264" behindDoc="0" locked="0" layoutInCell="1" allowOverlap="1" wp14:anchorId="24D0F48E" wp14:editId="7F42B5D6">
                      <wp:simplePos x="0" y="0"/>
                      <wp:positionH relativeFrom="column">
                        <wp:posOffset>165735</wp:posOffset>
                      </wp:positionH>
                      <wp:positionV relativeFrom="paragraph">
                        <wp:posOffset>329565</wp:posOffset>
                      </wp:positionV>
                      <wp:extent cx="484505" cy="314325"/>
                      <wp:effectExtent l="38100" t="19050" r="10795" b="28575"/>
                      <wp:wrapNone/>
                      <wp:docPr id="2" name="Up Arrow 2"/>
                      <wp:cNvGraphicFramePr/>
                      <a:graphic xmlns:a="http://schemas.openxmlformats.org/drawingml/2006/main">
                        <a:graphicData uri="http://schemas.microsoft.com/office/word/2010/wordprocessingShape">
                          <wps:wsp>
                            <wps:cNvSpPr/>
                            <wps:spPr>
                              <a:xfrm>
                                <a:off x="0" y="0"/>
                                <a:ext cx="484505" cy="314325"/>
                              </a:xfrm>
                              <a:prstGeom prst="upArrow">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2" o:spid="_x0000_s1026" type="#_x0000_t68" style="position:absolute;margin-left:13.05pt;margin-top:25.95pt;width:38.1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" adj="10800" fillcolor="#eaf1dd [662]" strokecolor="#243f60 [1604]" strokeweight="2pt"/>
                  </w:pict>
                </mc:Fallback>
              </mc:AlternateContent>
            </w:r>
            <w:r w:rsidR="0061639B">
              <w:rPr>
                <w:rFonts w:ascii="Tahoma" w:hAnsi="Tahoma" w:cs="Tahoma"/>
              </w:rPr>
              <w:t xml:space="preserve">NATIONAL </w:t>
            </w:r>
          </w:p>
        </w:tc>
        <w:tc>
          <w:tcPr>
            <w:tcW w:w="4924" w:type="dxa"/>
            <w:gridSpan w:val="4"/>
            <w:shd w:val="clear" w:color="auto" w:fill="D6E3BC" w:themeFill="accent3" w:themeFillTint="66"/>
          </w:tcPr>
          <w:p w:rsidR="0061639B" w:rsidRDefault="0061639B">
            <w:pPr>
              <w:rPr>
                <w:rFonts w:ascii="Tahoma" w:hAnsi="Tahoma" w:cs="Tahoma"/>
              </w:rPr>
            </w:pPr>
            <w:r>
              <w:rPr>
                <w:rFonts w:ascii="Tahoma" w:hAnsi="Tahoma" w:cs="Tahoma"/>
              </w:rPr>
              <w:t xml:space="preserve">National SRHR Policies advocated for by the focal networks  of the Alliance  </w:t>
            </w:r>
          </w:p>
        </w:tc>
        <w:tc>
          <w:tcPr>
            <w:tcW w:w="600" w:type="dxa"/>
            <w:vMerge/>
            <w:shd w:val="clear" w:color="auto" w:fill="E5DFEC" w:themeFill="accent4" w:themeFillTint="33"/>
          </w:tcPr>
          <w:p w:rsidR="0061639B" w:rsidRDefault="0061639B">
            <w:pPr>
              <w:rPr>
                <w:rFonts w:ascii="Tahoma" w:hAnsi="Tahoma" w:cs="Tahoma"/>
              </w:rPr>
            </w:pPr>
          </w:p>
        </w:tc>
        <w:tc>
          <w:tcPr>
            <w:tcW w:w="563" w:type="dxa"/>
            <w:vMerge/>
            <w:shd w:val="clear" w:color="auto" w:fill="CCC0D9" w:themeFill="accent4" w:themeFillTint="66"/>
          </w:tcPr>
          <w:p w:rsidR="0061639B" w:rsidRDefault="0061639B">
            <w:pPr>
              <w:rPr>
                <w:rFonts w:ascii="Tahoma" w:hAnsi="Tahoma" w:cs="Tahoma"/>
              </w:rPr>
            </w:pPr>
          </w:p>
        </w:tc>
        <w:tc>
          <w:tcPr>
            <w:tcW w:w="552" w:type="dxa"/>
            <w:vMerge/>
            <w:shd w:val="clear" w:color="auto" w:fill="B2A1C7" w:themeFill="accent4" w:themeFillTint="99"/>
          </w:tcPr>
          <w:p w:rsidR="0061639B" w:rsidRDefault="0061639B">
            <w:pPr>
              <w:rPr>
                <w:rFonts w:ascii="Tahoma" w:hAnsi="Tahoma" w:cs="Tahoma"/>
              </w:rPr>
            </w:pPr>
          </w:p>
        </w:tc>
        <w:tc>
          <w:tcPr>
            <w:tcW w:w="551" w:type="dxa"/>
            <w:vMerge/>
            <w:shd w:val="clear" w:color="auto" w:fill="B2A1C7" w:themeFill="accent4" w:themeFillTint="99"/>
          </w:tcPr>
          <w:p w:rsidR="0061639B" w:rsidRDefault="0061639B">
            <w:pPr>
              <w:rPr>
                <w:rFonts w:ascii="Tahoma" w:hAnsi="Tahoma" w:cs="Tahoma"/>
              </w:rPr>
            </w:pPr>
          </w:p>
        </w:tc>
        <w:tc>
          <w:tcPr>
            <w:tcW w:w="495" w:type="dxa"/>
            <w:vMerge/>
            <w:shd w:val="clear" w:color="auto" w:fill="8064A2" w:themeFill="accent4"/>
          </w:tcPr>
          <w:p w:rsidR="0061639B" w:rsidRDefault="0061639B">
            <w:pPr>
              <w:rPr>
                <w:rFonts w:ascii="Tahoma" w:hAnsi="Tahoma" w:cs="Tahoma"/>
              </w:rPr>
            </w:pPr>
          </w:p>
        </w:tc>
        <w:tc>
          <w:tcPr>
            <w:tcW w:w="495" w:type="dxa"/>
            <w:vMerge/>
            <w:shd w:val="clear" w:color="auto" w:fill="403152" w:themeFill="accent4" w:themeFillShade="80"/>
          </w:tcPr>
          <w:p w:rsidR="0061639B" w:rsidRDefault="0061639B">
            <w:pPr>
              <w:rPr>
                <w:rFonts w:ascii="Tahoma" w:hAnsi="Tahoma" w:cs="Tahoma"/>
              </w:rPr>
            </w:pPr>
          </w:p>
        </w:tc>
      </w:tr>
      <w:tr w:rsidR="0061639B" w:rsidTr="00A01EE7">
        <w:tc>
          <w:tcPr>
            <w:tcW w:w="1062" w:type="dxa"/>
            <w:vMerge w:val="restart"/>
            <w:shd w:val="clear" w:color="auto" w:fill="EAF1DD" w:themeFill="accent3" w:themeFillTint="33"/>
            <w:textDirection w:val="btLr"/>
          </w:tcPr>
          <w:p w:rsidR="0061639B" w:rsidRDefault="0061639B" w:rsidP="00107D02">
            <w:pPr>
              <w:ind w:left="113" w:right="113"/>
              <w:rPr>
                <w:rFonts w:ascii="Tahoma" w:hAnsi="Tahoma" w:cs="Tahoma"/>
              </w:rPr>
            </w:pPr>
            <w:r>
              <w:rPr>
                <w:rFonts w:ascii="Tahoma" w:hAnsi="Tahoma" w:cs="Tahoma"/>
              </w:rPr>
              <w:t xml:space="preserve">LOCAL </w:t>
            </w:r>
          </w:p>
        </w:tc>
        <w:tc>
          <w:tcPr>
            <w:tcW w:w="4924" w:type="dxa"/>
            <w:gridSpan w:val="4"/>
            <w:shd w:val="clear" w:color="auto" w:fill="EAF1DD" w:themeFill="accent3" w:themeFillTint="33"/>
          </w:tcPr>
          <w:p w:rsidR="0061639B" w:rsidRDefault="0061639B">
            <w:pPr>
              <w:rPr>
                <w:rFonts w:ascii="Tahoma" w:hAnsi="Tahoma" w:cs="Tahoma"/>
              </w:rPr>
            </w:pPr>
            <w:r>
              <w:rPr>
                <w:rFonts w:ascii="Tahoma" w:hAnsi="Tahoma" w:cs="Tahoma"/>
              </w:rPr>
              <w:t xml:space="preserve">425 Centres of Excellence for Gender and Local Government </w:t>
            </w:r>
          </w:p>
        </w:tc>
        <w:tc>
          <w:tcPr>
            <w:tcW w:w="600" w:type="dxa"/>
            <w:vMerge/>
            <w:shd w:val="clear" w:color="auto" w:fill="E5DFEC" w:themeFill="accent4" w:themeFillTint="33"/>
          </w:tcPr>
          <w:p w:rsidR="0061639B" w:rsidRDefault="0061639B">
            <w:pPr>
              <w:rPr>
                <w:rFonts w:ascii="Tahoma" w:hAnsi="Tahoma" w:cs="Tahoma"/>
              </w:rPr>
            </w:pPr>
          </w:p>
        </w:tc>
        <w:tc>
          <w:tcPr>
            <w:tcW w:w="563" w:type="dxa"/>
            <w:vMerge/>
            <w:shd w:val="clear" w:color="auto" w:fill="CCC0D9" w:themeFill="accent4" w:themeFillTint="66"/>
          </w:tcPr>
          <w:p w:rsidR="0061639B" w:rsidRDefault="0061639B">
            <w:pPr>
              <w:rPr>
                <w:rFonts w:ascii="Tahoma" w:hAnsi="Tahoma" w:cs="Tahoma"/>
              </w:rPr>
            </w:pPr>
          </w:p>
        </w:tc>
        <w:tc>
          <w:tcPr>
            <w:tcW w:w="552" w:type="dxa"/>
            <w:vMerge/>
            <w:shd w:val="clear" w:color="auto" w:fill="B2A1C7" w:themeFill="accent4" w:themeFillTint="99"/>
          </w:tcPr>
          <w:p w:rsidR="0061639B" w:rsidRDefault="0061639B">
            <w:pPr>
              <w:rPr>
                <w:rFonts w:ascii="Tahoma" w:hAnsi="Tahoma" w:cs="Tahoma"/>
              </w:rPr>
            </w:pPr>
          </w:p>
        </w:tc>
        <w:tc>
          <w:tcPr>
            <w:tcW w:w="551" w:type="dxa"/>
            <w:vMerge/>
            <w:shd w:val="clear" w:color="auto" w:fill="B2A1C7" w:themeFill="accent4" w:themeFillTint="99"/>
          </w:tcPr>
          <w:p w:rsidR="0061639B" w:rsidRDefault="0061639B">
            <w:pPr>
              <w:rPr>
                <w:rFonts w:ascii="Tahoma" w:hAnsi="Tahoma" w:cs="Tahoma"/>
              </w:rPr>
            </w:pPr>
          </w:p>
        </w:tc>
        <w:tc>
          <w:tcPr>
            <w:tcW w:w="495" w:type="dxa"/>
            <w:vMerge/>
            <w:shd w:val="clear" w:color="auto" w:fill="8064A2" w:themeFill="accent4"/>
          </w:tcPr>
          <w:p w:rsidR="0061639B" w:rsidRDefault="0061639B">
            <w:pPr>
              <w:rPr>
                <w:rFonts w:ascii="Tahoma" w:hAnsi="Tahoma" w:cs="Tahoma"/>
              </w:rPr>
            </w:pPr>
          </w:p>
        </w:tc>
        <w:tc>
          <w:tcPr>
            <w:tcW w:w="495" w:type="dxa"/>
            <w:vMerge/>
            <w:shd w:val="clear" w:color="auto" w:fill="403152" w:themeFill="accent4" w:themeFillShade="80"/>
          </w:tcPr>
          <w:p w:rsidR="0061639B" w:rsidRDefault="0061639B">
            <w:pPr>
              <w:rPr>
                <w:rFonts w:ascii="Tahoma" w:hAnsi="Tahoma" w:cs="Tahoma"/>
              </w:rPr>
            </w:pPr>
          </w:p>
        </w:tc>
      </w:tr>
      <w:tr w:rsidR="0061639B" w:rsidTr="00A01EE7">
        <w:tc>
          <w:tcPr>
            <w:tcW w:w="1062" w:type="dxa"/>
            <w:vMerge/>
            <w:shd w:val="clear" w:color="auto" w:fill="EAF1DD" w:themeFill="accent3" w:themeFillTint="33"/>
          </w:tcPr>
          <w:p w:rsidR="0061639B" w:rsidRDefault="0061639B">
            <w:pPr>
              <w:rPr>
                <w:rFonts w:ascii="Tahoma" w:hAnsi="Tahoma" w:cs="Tahoma"/>
              </w:rPr>
            </w:pPr>
          </w:p>
        </w:tc>
        <w:tc>
          <w:tcPr>
            <w:tcW w:w="1181" w:type="dxa"/>
            <w:shd w:val="clear" w:color="auto" w:fill="EAF1DD" w:themeFill="accent3" w:themeFillTint="33"/>
          </w:tcPr>
          <w:p w:rsidR="0061639B" w:rsidRDefault="0061639B">
            <w:pPr>
              <w:rPr>
                <w:rFonts w:ascii="Tahoma" w:hAnsi="Tahoma" w:cs="Tahoma"/>
              </w:rPr>
            </w:pPr>
            <w:r>
              <w:rPr>
                <w:rFonts w:ascii="Tahoma" w:hAnsi="Tahoma" w:cs="Tahoma"/>
              </w:rPr>
              <w:t xml:space="preserve">Clinics </w:t>
            </w:r>
          </w:p>
        </w:tc>
        <w:tc>
          <w:tcPr>
            <w:tcW w:w="1414" w:type="dxa"/>
            <w:shd w:val="clear" w:color="auto" w:fill="EAF1DD" w:themeFill="accent3" w:themeFillTint="33"/>
          </w:tcPr>
          <w:p w:rsidR="0061639B" w:rsidRDefault="0061639B">
            <w:pPr>
              <w:rPr>
                <w:rFonts w:ascii="Tahoma" w:hAnsi="Tahoma" w:cs="Tahoma"/>
              </w:rPr>
            </w:pPr>
            <w:r>
              <w:rPr>
                <w:rFonts w:ascii="Tahoma" w:hAnsi="Tahoma" w:cs="Tahoma"/>
              </w:rPr>
              <w:t xml:space="preserve">Schools </w:t>
            </w:r>
          </w:p>
        </w:tc>
        <w:tc>
          <w:tcPr>
            <w:tcW w:w="1647" w:type="dxa"/>
            <w:shd w:val="clear" w:color="auto" w:fill="EAF1DD" w:themeFill="accent3" w:themeFillTint="33"/>
          </w:tcPr>
          <w:p w:rsidR="0061639B" w:rsidRDefault="0061639B">
            <w:pPr>
              <w:rPr>
                <w:rFonts w:ascii="Tahoma" w:hAnsi="Tahoma" w:cs="Tahoma"/>
              </w:rPr>
            </w:pPr>
            <w:r>
              <w:rPr>
                <w:rFonts w:ascii="Tahoma" w:hAnsi="Tahoma" w:cs="Tahoma"/>
              </w:rPr>
              <w:t xml:space="preserve">Communities </w:t>
            </w:r>
          </w:p>
        </w:tc>
        <w:tc>
          <w:tcPr>
            <w:tcW w:w="682" w:type="dxa"/>
            <w:shd w:val="clear" w:color="auto" w:fill="EAF1DD" w:themeFill="accent3" w:themeFillTint="33"/>
          </w:tcPr>
          <w:p w:rsidR="0061639B" w:rsidRDefault="0061639B">
            <w:pPr>
              <w:rPr>
                <w:rFonts w:ascii="Tahoma" w:hAnsi="Tahoma" w:cs="Tahoma"/>
              </w:rPr>
            </w:pPr>
            <w:r>
              <w:rPr>
                <w:rFonts w:ascii="Tahoma" w:hAnsi="Tahoma" w:cs="Tahoma"/>
              </w:rPr>
              <w:t xml:space="preserve">ICTS </w:t>
            </w:r>
          </w:p>
        </w:tc>
        <w:tc>
          <w:tcPr>
            <w:tcW w:w="600" w:type="dxa"/>
            <w:vMerge/>
            <w:shd w:val="clear" w:color="auto" w:fill="E5DFEC" w:themeFill="accent4" w:themeFillTint="33"/>
          </w:tcPr>
          <w:p w:rsidR="0061639B" w:rsidRDefault="0061639B">
            <w:pPr>
              <w:rPr>
                <w:rFonts w:ascii="Tahoma" w:hAnsi="Tahoma" w:cs="Tahoma"/>
              </w:rPr>
            </w:pPr>
          </w:p>
        </w:tc>
        <w:tc>
          <w:tcPr>
            <w:tcW w:w="563" w:type="dxa"/>
            <w:vMerge/>
            <w:shd w:val="clear" w:color="auto" w:fill="CCC0D9" w:themeFill="accent4" w:themeFillTint="66"/>
          </w:tcPr>
          <w:p w:rsidR="0061639B" w:rsidRDefault="0061639B">
            <w:pPr>
              <w:rPr>
                <w:rFonts w:ascii="Tahoma" w:hAnsi="Tahoma" w:cs="Tahoma"/>
              </w:rPr>
            </w:pPr>
          </w:p>
        </w:tc>
        <w:tc>
          <w:tcPr>
            <w:tcW w:w="552" w:type="dxa"/>
            <w:vMerge/>
            <w:shd w:val="clear" w:color="auto" w:fill="B2A1C7" w:themeFill="accent4" w:themeFillTint="99"/>
          </w:tcPr>
          <w:p w:rsidR="0061639B" w:rsidRDefault="0061639B">
            <w:pPr>
              <w:rPr>
                <w:rFonts w:ascii="Tahoma" w:hAnsi="Tahoma" w:cs="Tahoma"/>
              </w:rPr>
            </w:pPr>
          </w:p>
        </w:tc>
        <w:tc>
          <w:tcPr>
            <w:tcW w:w="551" w:type="dxa"/>
            <w:vMerge/>
            <w:shd w:val="clear" w:color="auto" w:fill="B2A1C7" w:themeFill="accent4" w:themeFillTint="99"/>
          </w:tcPr>
          <w:p w:rsidR="0061639B" w:rsidRDefault="0061639B">
            <w:pPr>
              <w:rPr>
                <w:rFonts w:ascii="Tahoma" w:hAnsi="Tahoma" w:cs="Tahoma"/>
              </w:rPr>
            </w:pPr>
          </w:p>
        </w:tc>
        <w:tc>
          <w:tcPr>
            <w:tcW w:w="495" w:type="dxa"/>
            <w:vMerge/>
            <w:shd w:val="clear" w:color="auto" w:fill="8064A2" w:themeFill="accent4"/>
          </w:tcPr>
          <w:p w:rsidR="0061639B" w:rsidRDefault="0061639B">
            <w:pPr>
              <w:rPr>
                <w:rFonts w:ascii="Tahoma" w:hAnsi="Tahoma" w:cs="Tahoma"/>
              </w:rPr>
            </w:pPr>
          </w:p>
        </w:tc>
        <w:tc>
          <w:tcPr>
            <w:tcW w:w="495" w:type="dxa"/>
            <w:vMerge/>
            <w:shd w:val="clear" w:color="auto" w:fill="403152" w:themeFill="accent4" w:themeFillShade="80"/>
          </w:tcPr>
          <w:p w:rsidR="0061639B" w:rsidRDefault="0061639B">
            <w:pPr>
              <w:rPr>
                <w:rFonts w:ascii="Tahoma" w:hAnsi="Tahoma" w:cs="Tahoma"/>
              </w:rPr>
            </w:pPr>
          </w:p>
        </w:tc>
      </w:tr>
      <w:tr w:rsidR="0061639B" w:rsidTr="00A01EE7">
        <w:trPr>
          <w:trHeight w:val="807"/>
        </w:trPr>
        <w:tc>
          <w:tcPr>
            <w:tcW w:w="1062" w:type="dxa"/>
            <w:vMerge/>
            <w:shd w:val="clear" w:color="auto" w:fill="EAF1DD" w:themeFill="accent3" w:themeFillTint="33"/>
          </w:tcPr>
          <w:p w:rsidR="0061639B" w:rsidRDefault="0061639B">
            <w:pPr>
              <w:rPr>
                <w:rFonts w:ascii="Tahoma" w:hAnsi="Tahoma" w:cs="Tahoma"/>
              </w:rPr>
            </w:pPr>
          </w:p>
        </w:tc>
        <w:tc>
          <w:tcPr>
            <w:tcW w:w="4924" w:type="dxa"/>
            <w:gridSpan w:val="4"/>
            <w:shd w:val="clear" w:color="auto" w:fill="EAF1DD" w:themeFill="accent3" w:themeFillTint="33"/>
          </w:tcPr>
          <w:p w:rsidR="0061639B" w:rsidRDefault="0061639B">
            <w:pPr>
              <w:rPr>
                <w:rFonts w:ascii="Tahoma" w:hAnsi="Tahoma" w:cs="Tahoma"/>
              </w:rPr>
            </w:pPr>
            <w:r>
              <w:rPr>
                <w:rFonts w:ascii="Tahoma" w:hAnsi="Tahoma" w:cs="Tahoma"/>
              </w:rPr>
              <w:t xml:space="preserve">Citizen engagement – youth, especially young women drive the change </w:t>
            </w:r>
          </w:p>
        </w:tc>
        <w:tc>
          <w:tcPr>
            <w:tcW w:w="600" w:type="dxa"/>
            <w:vMerge/>
            <w:shd w:val="clear" w:color="auto" w:fill="E5DFEC" w:themeFill="accent4" w:themeFillTint="33"/>
          </w:tcPr>
          <w:p w:rsidR="0061639B" w:rsidRDefault="0061639B">
            <w:pPr>
              <w:rPr>
                <w:rFonts w:ascii="Tahoma" w:hAnsi="Tahoma" w:cs="Tahoma"/>
              </w:rPr>
            </w:pPr>
          </w:p>
        </w:tc>
        <w:tc>
          <w:tcPr>
            <w:tcW w:w="563" w:type="dxa"/>
            <w:vMerge/>
            <w:shd w:val="clear" w:color="auto" w:fill="CCC0D9" w:themeFill="accent4" w:themeFillTint="66"/>
          </w:tcPr>
          <w:p w:rsidR="0061639B" w:rsidRDefault="0061639B">
            <w:pPr>
              <w:rPr>
                <w:rFonts w:ascii="Tahoma" w:hAnsi="Tahoma" w:cs="Tahoma"/>
              </w:rPr>
            </w:pPr>
          </w:p>
        </w:tc>
        <w:tc>
          <w:tcPr>
            <w:tcW w:w="552" w:type="dxa"/>
            <w:vMerge/>
            <w:shd w:val="clear" w:color="auto" w:fill="B2A1C7" w:themeFill="accent4" w:themeFillTint="99"/>
          </w:tcPr>
          <w:p w:rsidR="0061639B" w:rsidRDefault="0061639B">
            <w:pPr>
              <w:rPr>
                <w:rFonts w:ascii="Tahoma" w:hAnsi="Tahoma" w:cs="Tahoma"/>
              </w:rPr>
            </w:pPr>
          </w:p>
        </w:tc>
        <w:tc>
          <w:tcPr>
            <w:tcW w:w="551" w:type="dxa"/>
            <w:vMerge/>
            <w:shd w:val="clear" w:color="auto" w:fill="B2A1C7" w:themeFill="accent4" w:themeFillTint="99"/>
          </w:tcPr>
          <w:p w:rsidR="0061639B" w:rsidRDefault="0061639B">
            <w:pPr>
              <w:rPr>
                <w:rFonts w:ascii="Tahoma" w:hAnsi="Tahoma" w:cs="Tahoma"/>
              </w:rPr>
            </w:pPr>
          </w:p>
        </w:tc>
        <w:tc>
          <w:tcPr>
            <w:tcW w:w="495" w:type="dxa"/>
            <w:vMerge/>
            <w:shd w:val="clear" w:color="auto" w:fill="8064A2" w:themeFill="accent4"/>
          </w:tcPr>
          <w:p w:rsidR="0061639B" w:rsidRDefault="0061639B">
            <w:pPr>
              <w:rPr>
                <w:rFonts w:ascii="Tahoma" w:hAnsi="Tahoma" w:cs="Tahoma"/>
              </w:rPr>
            </w:pPr>
          </w:p>
        </w:tc>
        <w:tc>
          <w:tcPr>
            <w:tcW w:w="495" w:type="dxa"/>
            <w:vMerge/>
            <w:shd w:val="clear" w:color="auto" w:fill="403152" w:themeFill="accent4" w:themeFillShade="80"/>
          </w:tcPr>
          <w:p w:rsidR="0061639B" w:rsidRDefault="0061639B">
            <w:pPr>
              <w:rPr>
                <w:rFonts w:ascii="Tahoma" w:hAnsi="Tahoma" w:cs="Tahoma"/>
              </w:rPr>
            </w:pPr>
          </w:p>
        </w:tc>
      </w:tr>
    </w:tbl>
    <w:p w:rsidR="00554AC7" w:rsidRPr="007D72FE" w:rsidRDefault="00554AC7">
      <w:pPr>
        <w:rPr>
          <w:rFonts w:ascii="Tahoma" w:hAnsi="Tahoma" w:cs="Tahoma"/>
        </w:rPr>
      </w:pPr>
    </w:p>
    <w:p w:rsidR="00812902" w:rsidRDefault="001E03E4" w:rsidP="00E610EF">
      <w:pPr>
        <w:spacing w:after="0" w:line="240" w:lineRule="auto"/>
        <w:jc w:val="both"/>
        <w:rPr>
          <w:rFonts w:ascii="Tahoma" w:hAnsi="Tahoma" w:cs="Tahoma"/>
        </w:rPr>
      </w:pPr>
      <w:r w:rsidRPr="00812902">
        <w:rPr>
          <w:rFonts w:ascii="Tahoma" w:hAnsi="Tahoma" w:cs="Tahoma"/>
        </w:rPr>
        <w:lastRenderedPageBreak/>
        <w:t xml:space="preserve">GL’s proposed extension to the Network Grant is called </w:t>
      </w:r>
      <w:r w:rsidRPr="00812902">
        <w:rPr>
          <w:rFonts w:ascii="Tahoma" w:hAnsi="Tahoma" w:cs="Tahoma"/>
          <w:b/>
        </w:rPr>
        <w:t>#</w:t>
      </w:r>
      <w:proofErr w:type="spellStart"/>
      <w:r w:rsidRPr="00812902">
        <w:rPr>
          <w:rFonts w:ascii="Tahoma" w:hAnsi="Tahoma" w:cs="Tahoma"/>
          <w:b/>
        </w:rPr>
        <w:t>SheDecides</w:t>
      </w:r>
      <w:proofErr w:type="spellEnd"/>
      <w:r w:rsidRPr="00812902">
        <w:rPr>
          <w:rFonts w:ascii="Tahoma" w:hAnsi="Tahoma" w:cs="Tahoma"/>
          <w:b/>
        </w:rPr>
        <w:t>:</w:t>
      </w:r>
      <w:r w:rsidR="00812902" w:rsidRPr="00812902">
        <w:rPr>
          <w:rFonts w:ascii="Tahoma" w:hAnsi="Tahoma" w:cs="Tahoma"/>
          <w:b/>
        </w:rPr>
        <w:t xml:space="preserve"> Strengthening SRHR Networks and Campaigns in Southern Africa.</w:t>
      </w:r>
      <w:r w:rsidR="00812902" w:rsidRPr="00812902">
        <w:rPr>
          <w:rFonts w:ascii="Tahoma" w:hAnsi="Tahoma" w:cs="Tahoma"/>
        </w:rPr>
        <w:t xml:space="preserve"> </w:t>
      </w:r>
      <w:r w:rsidRPr="00812902">
        <w:rPr>
          <w:rFonts w:ascii="Tahoma" w:hAnsi="Tahoma" w:cs="Tahoma"/>
        </w:rPr>
        <w:t xml:space="preserve"> </w:t>
      </w:r>
      <w:r w:rsidR="00812902">
        <w:rPr>
          <w:rFonts w:ascii="Tahoma" w:hAnsi="Tahoma" w:cs="Tahoma"/>
        </w:rPr>
        <w:t>The initiative builds on the global momentum of the #</w:t>
      </w:r>
      <w:proofErr w:type="spellStart"/>
      <w:proofErr w:type="gramStart"/>
      <w:r w:rsidR="00812902">
        <w:rPr>
          <w:rFonts w:ascii="Tahoma" w:hAnsi="Tahoma" w:cs="Tahoma"/>
        </w:rPr>
        <w:t>MeToo</w:t>
      </w:r>
      <w:proofErr w:type="spellEnd"/>
      <w:proofErr w:type="gramEnd"/>
      <w:r w:rsidR="00812902">
        <w:rPr>
          <w:rFonts w:ascii="Tahoma" w:hAnsi="Tahoma" w:cs="Tahoma"/>
        </w:rPr>
        <w:t>, #</w:t>
      </w:r>
      <w:proofErr w:type="spellStart"/>
      <w:r w:rsidR="00812902">
        <w:rPr>
          <w:rFonts w:ascii="Tahoma" w:hAnsi="Tahoma" w:cs="Tahoma"/>
        </w:rPr>
        <w:t>TimesUp</w:t>
      </w:r>
      <w:proofErr w:type="spellEnd"/>
      <w:r w:rsidR="00812902">
        <w:rPr>
          <w:rFonts w:ascii="Tahoma" w:hAnsi="Tahoma" w:cs="Tahoma"/>
        </w:rPr>
        <w:t xml:space="preserve"> campaign, and in Southern Africa </w:t>
      </w:r>
      <w:r w:rsidR="00A61521">
        <w:rPr>
          <w:rFonts w:ascii="Tahoma" w:hAnsi="Tahoma" w:cs="Tahoma"/>
        </w:rPr>
        <w:t>the #MenAreTrash, #</w:t>
      </w:r>
      <w:proofErr w:type="spellStart"/>
      <w:r w:rsidR="00A61521">
        <w:rPr>
          <w:rFonts w:ascii="Tahoma" w:hAnsi="Tahoma" w:cs="Tahoma"/>
        </w:rPr>
        <w:t>NotinMy</w:t>
      </w:r>
      <w:r w:rsidR="00525336">
        <w:rPr>
          <w:rFonts w:ascii="Tahoma" w:hAnsi="Tahoma" w:cs="Tahoma"/>
        </w:rPr>
        <w:t>Name</w:t>
      </w:r>
      <w:proofErr w:type="spellEnd"/>
      <w:r w:rsidR="00525336">
        <w:rPr>
          <w:rFonts w:ascii="Tahoma" w:hAnsi="Tahoma" w:cs="Tahoma"/>
        </w:rPr>
        <w:t>,</w:t>
      </w:r>
      <w:r w:rsidR="00A61521">
        <w:rPr>
          <w:rFonts w:ascii="Tahoma" w:hAnsi="Tahoma" w:cs="Tahoma"/>
        </w:rPr>
        <w:t xml:space="preserve"> #</w:t>
      </w:r>
      <w:proofErr w:type="spellStart"/>
      <w:r w:rsidR="00A61521">
        <w:rPr>
          <w:rFonts w:ascii="Tahoma" w:hAnsi="Tahoma" w:cs="Tahoma"/>
        </w:rPr>
        <w:t>JusticeForKarabo</w:t>
      </w:r>
      <w:proofErr w:type="spellEnd"/>
      <w:r w:rsidR="00525336">
        <w:rPr>
          <w:rFonts w:ascii="Tahoma" w:hAnsi="Tahoma" w:cs="Tahoma"/>
        </w:rPr>
        <w:t xml:space="preserve"> #</w:t>
      </w:r>
      <w:proofErr w:type="spellStart"/>
      <w:r w:rsidR="00525336">
        <w:rPr>
          <w:rFonts w:ascii="Tahoma" w:hAnsi="Tahoma" w:cs="Tahoma"/>
        </w:rPr>
        <w:t>IWearWhatILike</w:t>
      </w:r>
      <w:proofErr w:type="spellEnd"/>
      <w:r w:rsidR="00525336">
        <w:rPr>
          <w:rFonts w:ascii="Tahoma" w:hAnsi="Tahoma" w:cs="Tahoma"/>
        </w:rPr>
        <w:t xml:space="preserve"> and other campaigns, that have come together under the umbrella of the #</w:t>
      </w:r>
      <w:proofErr w:type="spellStart"/>
      <w:r w:rsidR="00525336">
        <w:rPr>
          <w:rFonts w:ascii="Tahoma" w:hAnsi="Tahoma" w:cs="Tahoma"/>
        </w:rPr>
        <w:t>SheDecides</w:t>
      </w:r>
      <w:proofErr w:type="spellEnd"/>
      <w:r w:rsidR="00525336">
        <w:rPr>
          <w:rFonts w:ascii="Tahoma" w:hAnsi="Tahoma" w:cs="Tahoma"/>
        </w:rPr>
        <w:t xml:space="preserve"> campaign. SAFAIDS as cluster lead, and GL as coordinator of the Allianc</w:t>
      </w:r>
      <w:r w:rsidR="00A61521">
        <w:rPr>
          <w:rFonts w:ascii="Tahoma" w:hAnsi="Tahoma" w:cs="Tahoma"/>
        </w:rPr>
        <w:t>e, propose</w:t>
      </w:r>
      <w:r w:rsidR="00525336">
        <w:rPr>
          <w:rFonts w:ascii="Tahoma" w:hAnsi="Tahoma" w:cs="Tahoma"/>
        </w:rPr>
        <w:t xml:space="preserve"> to launch the #</w:t>
      </w:r>
      <w:proofErr w:type="spellStart"/>
      <w:r w:rsidR="00525336">
        <w:rPr>
          <w:rFonts w:ascii="Tahoma" w:hAnsi="Tahoma" w:cs="Tahoma"/>
        </w:rPr>
        <w:t>SheDecidesSouthernAfrica</w:t>
      </w:r>
      <w:proofErr w:type="spellEnd"/>
      <w:r w:rsidR="00525336">
        <w:rPr>
          <w:rFonts w:ascii="Tahoma" w:hAnsi="Tahoma" w:cs="Tahoma"/>
        </w:rPr>
        <w:t xml:space="preserve"> campaign, to press home the gains in the last few years, through strategic communication campaigns that have targets, indicators, and regularly publish results. Key </w:t>
      </w:r>
      <w:r w:rsidR="00AB1EB8">
        <w:rPr>
          <w:rFonts w:ascii="Tahoma" w:hAnsi="Tahoma" w:cs="Tahoma"/>
        </w:rPr>
        <w:t xml:space="preserve">inter- linked </w:t>
      </w:r>
      <w:r w:rsidR="00525336">
        <w:rPr>
          <w:rFonts w:ascii="Tahoma" w:hAnsi="Tahoma" w:cs="Tahoma"/>
        </w:rPr>
        <w:t xml:space="preserve">campaigns identified include </w:t>
      </w:r>
      <w:r w:rsidR="00A61521">
        <w:rPr>
          <w:rFonts w:ascii="Tahoma" w:hAnsi="Tahoma" w:cs="Tahoma"/>
        </w:rPr>
        <w:t xml:space="preserve">resurgence of HIV and AIDS among young women; </w:t>
      </w:r>
      <w:r w:rsidR="00525336">
        <w:rPr>
          <w:rFonts w:ascii="Tahoma" w:hAnsi="Tahoma" w:cs="Tahoma"/>
        </w:rPr>
        <w:t xml:space="preserve">menstrual health; teenage pregnancies, unsafe abortion; </w:t>
      </w:r>
      <w:r w:rsidR="00AB1EB8">
        <w:rPr>
          <w:rFonts w:ascii="Tahoma" w:hAnsi="Tahoma" w:cs="Tahoma"/>
        </w:rPr>
        <w:t xml:space="preserve">child marriages; Comprehensive Sexual Education in Schools; </w:t>
      </w:r>
      <w:r w:rsidR="00A61521">
        <w:rPr>
          <w:rFonts w:ascii="Tahoma" w:hAnsi="Tahoma" w:cs="Tahoma"/>
        </w:rPr>
        <w:t xml:space="preserve">and </w:t>
      </w:r>
      <w:r w:rsidR="00AB1EB8">
        <w:rPr>
          <w:rFonts w:ascii="Tahoma" w:hAnsi="Tahoma" w:cs="Tahoma"/>
        </w:rPr>
        <w:t xml:space="preserve">decriminalisation of homosexuality. These will be accompanied by: </w:t>
      </w:r>
      <w:r w:rsidR="00525336">
        <w:rPr>
          <w:rFonts w:ascii="Tahoma" w:hAnsi="Tahoma" w:cs="Tahoma"/>
        </w:rPr>
        <w:t xml:space="preserve"> </w:t>
      </w:r>
    </w:p>
    <w:p w:rsidR="00812902" w:rsidRPr="00E610EF" w:rsidRDefault="00812902" w:rsidP="00E610EF">
      <w:pPr>
        <w:pStyle w:val="ListParagraph"/>
        <w:numPr>
          <w:ilvl w:val="0"/>
          <w:numId w:val="4"/>
        </w:numPr>
        <w:spacing w:after="0" w:line="240" w:lineRule="auto"/>
        <w:jc w:val="both"/>
        <w:rPr>
          <w:rFonts w:ascii="Tahoma" w:hAnsi="Tahoma" w:cs="Tahoma"/>
          <w:i/>
        </w:rPr>
      </w:pPr>
      <w:r w:rsidRPr="00E610EF">
        <w:rPr>
          <w:rFonts w:ascii="Tahoma" w:hAnsi="Tahoma" w:cs="Tahoma"/>
          <w:i/>
        </w:rPr>
        <w:t>Network strengthening</w:t>
      </w:r>
      <w:r w:rsidRPr="00AB1EB8">
        <w:rPr>
          <w:rFonts w:ascii="Tahoma" w:hAnsi="Tahoma" w:cs="Tahoma"/>
        </w:rPr>
        <w:t xml:space="preserve"> – through </w:t>
      </w:r>
      <w:r w:rsidR="00A61521">
        <w:rPr>
          <w:rFonts w:ascii="Tahoma" w:hAnsi="Tahoma" w:cs="Tahoma"/>
        </w:rPr>
        <w:t xml:space="preserve">building </w:t>
      </w:r>
      <w:r w:rsidR="002E0042">
        <w:rPr>
          <w:rFonts w:ascii="Tahoma" w:hAnsi="Tahoma" w:cs="Tahoma"/>
        </w:rPr>
        <w:t>the organisational capacity of small network members</w:t>
      </w:r>
      <w:r w:rsidR="00A61521">
        <w:rPr>
          <w:rFonts w:ascii="Tahoma" w:hAnsi="Tahoma" w:cs="Tahoma"/>
        </w:rPr>
        <w:t xml:space="preserve"> (one in each country)</w:t>
      </w:r>
      <w:r w:rsidR="002E0042">
        <w:rPr>
          <w:rFonts w:ascii="Tahoma" w:hAnsi="Tahoma" w:cs="Tahoma"/>
        </w:rPr>
        <w:t xml:space="preserve">; </w:t>
      </w:r>
      <w:r w:rsidR="00AB1EB8" w:rsidRPr="00AB1EB8">
        <w:rPr>
          <w:rFonts w:ascii="Tahoma" w:hAnsi="Tahoma" w:cs="Tahoma"/>
        </w:rPr>
        <w:t xml:space="preserve">further </w:t>
      </w:r>
      <w:r w:rsidRPr="00AB1EB8">
        <w:rPr>
          <w:rFonts w:ascii="Tahoma" w:hAnsi="Tahoma" w:cs="Tahoma"/>
        </w:rPr>
        <w:t xml:space="preserve">work on </w:t>
      </w:r>
      <w:r w:rsidRPr="00E610EF">
        <w:rPr>
          <w:rFonts w:ascii="Tahoma" w:hAnsi="Tahoma" w:cs="Tahoma"/>
          <w:i/>
        </w:rPr>
        <w:t xml:space="preserve">the </w:t>
      </w:r>
      <w:proofErr w:type="spellStart"/>
      <w:r w:rsidRPr="00E610EF">
        <w:rPr>
          <w:rFonts w:ascii="Tahoma" w:hAnsi="Tahoma" w:cs="Tahoma"/>
          <w:i/>
        </w:rPr>
        <w:t>LGBTI</w:t>
      </w:r>
      <w:proofErr w:type="spellEnd"/>
      <w:r w:rsidRPr="00E610EF">
        <w:rPr>
          <w:rFonts w:ascii="Tahoma" w:hAnsi="Tahoma" w:cs="Tahoma"/>
          <w:i/>
        </w:rPr>
        <w:t xml:space="preserve"> sub</w:t>
      </w:r>
      <w:r w:rsidR="00A61521">
        <w:rPr>
          <w:rFonts w:ascii="Tahoma" w:hAnsi="Tahoma" w:cs="Tahoma"/>
          <w:i/>
        </w:rPr>
        <w:t>-</w:t>
      </w:r>
      <w:r w:rsidRPr="00E610EF">
        <w:rPr>
          <w:rFonts w:ascii="Tahoma" w:hAnsi="Tahoma" w:cs="Tahoma"/>
          <w:i/>
        </w:rPr>
        <w:t>group in the S</w:t>
      </w:r>
      <w:r w:rsidR="0066195F">
        <w:rPr>
          <w:rFonts w:ascii="Tahoma" w:hAnsi="Tahoma" w:cs="Tahoma"/>
          <w:i/>
        </w:rPr>
        <w:t>RHR cluster, and inclusion of Faith Based Organisations</w:t>
      </w:r>
      <w:r w:rsidR="0066195F">
        <w:rPr>
          <w:rFonts w:ascii="Tahoma" w:hAnsi="Tahoma" w:cs="Tahoma"/>
        </w:rPr>
        <w:t xml:space="preserve"> through our partnership with the ACT Alliance. </w:t>
      </w:r>
    </w:p>
    <w:p w:rsidR="00812902" w:rsidRPr="00AB1EB8" w:rsidRDefault="00812902" w:rsidP="00E610EF">
      <w:pPr>
        <w:pStyle w:val="ListParagraph"/>
        <w:numPr>
          <w:ilvl w:val="0"/>
          <w:numId w:val="4"/>
        </w:numPr>
        <w:spacing w:after="0" w:line="240" w:lineRule="auto"/>
        <w:jc w:val="both"/>
        <w:rPr>
          <w:rFonts w:ascii="Tahoma" w:hAnsi="Tahoma" w:cs="Tahoma"/>
        </w:rPr>
      </w:pPr>
      <w:r w:rsidRPr="00AB1EB8">
        <w:rPr>
          <w:rFonts w:ascii="Tahoma" w:hAnsi="Tahoma" w:cs="Tahoma"/>
        </w:rPr>
        <w:t xml:space="preserve">Strengthening advocacy through a </w:t>
      </w:r>
      <w:r w:rsidRPr="00E610EF">
        <w:rPr>
          <w:rFonts w:ascii="Tahoma" w:hAnsi="Tahoma" w:cs="Tahoma"/>
          <w:i/>
        </w:rPr>
        <w:t>Gender Responsive Budgeting (</w:t>
      </w:r>
      <w:proofErr w:type="spellStart"/>
      <w:r w:rsidRPr="00E610EF">
        <w:rPr>
          <w:rFonts w:ascii="Tahoma" w:hAnsi="Tahoma" w:cs="Tahoma"/>
          <w:i/>
        </w:rPr>
        <w:t>GRB</w:t>
      </w:r>
      <w:proofErr w:type="spellEnd"/>
      <w:r w:rsidRPr="00E610EF">
        <w:rPr>
          <w:rFonts w:ascii="Tahoma" w:hAnsi="Tahoma" w:cs="Tahoma"/>
          <w:i/>
        </w:rPr>
        <w:t>)</w:t>
      </w:r>
      <w:r w:rsidRPr="00AB1EB8">
        <w:rPr>
          <w:rFonts w:ascii="Tahoma" w:hAnsi="Tahoma" w:cs="Tahoma"/>
        </w:rPr>
        <w:t xml:space="preserve"> tracking initiative for SRHR; this will also complement the policy work in the strategic grant. </w:t>
      </w:r>
    </w:p>
    <w:p w:rsidR="00812902" w:rsidRDefault="00AB1EB8" w:rsidP="00E610EF">
      <w:pPr>
        <w:pStyle w:val="ListParagraph"/>
        <w:numPr>
          <w:ilvl w:val="0"/>
          <w:numId w:val="4"/>
        </w:numPr>
        <w:spacing w:after="0" w:line="240" w:lineRule="auto"/>
        <w:jc w:val="both"/>
        <w:rPr>
          <w:rFonts w:ascii="Tahoma" w:hAnsi="Tahoma" w:cs="Tahoma"/>
        </w:rPr>
      </w:pPr>
      <w:r w:rsidRPr="00AB1EB8">
        <w:rPr>
          <w:rFonts w:ascii="Tahoma" w:hAnsi="Tahoma" w:cs="Tahoma"/>
        </w:rPr>
        <w:t xml:space="preserve">Working through GL’s </w:t>
      </w:r>
      <w:r w:rsidRPr="00E610EF">
        <w:rPr>
          <w:rFonts w:ascii="Tahoma" w:hAnsi="Tahoma" w:cs="Tahoma"/>
          <w:i/>
        </w:rPr>
        <w:t xml:space="preserve">media </w:t>
      </w:r>
      <w:r w:rsidRPr="00AB1EB8">
        <w:rPr>
          <w:rFonts w:ascii="Tahoma" w:hAnsi="Tahoma" w:cs="Tahoma"/>
        </w:rPr>
        <w:t xml:space="preserve">COE’s to </w:t>
      </w:r>
      <w:r>
        <w:rPr>
          <w:rFonts w:ascii="Tahoma" w:hAnsi="Tahoma" w:cs="Tahoma"/>
        </w:rPr>
        <w:t xml:space="preserve">engage </w:t>
      </w:r>
      <w:r w:rsidRPr="00AB1EB8">
        <w:rPr>
          <w:rFonts w:ascii="Tahoma" w:hAnsi="Tahoma" w:cs="Tahoma"/>
        </w:rPr>
        <w:t xml:space="preserve">the media as </w:t>
      </w:r>
      <w:r>
        <w:rPr>
          <w:rFonts w:ascii="Tahoma" w:hAnsi="Tahoma" w:cs="Tahoma"/>
        </w:rPr>
        <w:t>a partner through practical training the yields</w:t>
      </w:r>
      <w:r w:rsidR="0066195F">
        <w:rPr>
          <w:rFonts w:ascii="Tahoma" w:hAnsi="Tahoma" w:cs="Tahoma"/>
        </w:rPr>
        <w:t xml:space="preserve"> in-depth coverage. </w:t>
      </w:r>
      <w:r>
        <w:rPr>
          <w:rFonts w:ascii="Tahoma" w:hAnsi="Tahoma" w:cs="Tahoma"/>
        </w:rPr>
        <w:t xml:space="preserve"> </w:t>
      </w:r>
      <w:r w:rsidRPr="00AB1EB8">
        <w:rPr>
          <w:rFonts w:ascii="Tahoma" w:hAnsi="Tahoma" w:cs="Tahoma"/>
        </w:rPr>
        <w:t xml:space="preserve"> </w:t>
      </w:r>
    </w:p>
    <w:p w:rsidR="00E610EF" w:rsidRDefault="0066195F" w:rsidP="00E610EF">
      <w:pPr>
        <w:pStyle w:val="ListParagraph"/>
        <w:numPr>
          <w:ilvl w:val="0"/>
          <w:numId w:val="4"/>
        </w:numPr>
        <w:spacing w:after="0" w:line="240" w:lineRule="auto"/>
        <w:jc w:val="both"/>
        <w:rPr>
          <w:rFonts w:ascii="Tahoma" w:hAnsi="Tahoma" w:cs="Tahoma"/>
        </w:rPr>
      </w:pPr>
      <w:r>
        <w:rPr>
          <w:rFonts w:ascii="Tahoma" w:hAnsi="Tahoma" w:cs="Tahoma"/>
        </w:rPr>
        <w:t xml:space="preserve">A strong Community of Practise that includes discussion groups, training and advocacy resources; and access to dynamic data bases. </w:t>
      </w:r>
    </w:p>
    <w:p w:rsidR="00E610EF" w:rsidRDefault="00E610EF" w:rsidP="00E610EF">
      <w:pPr>
        <w:spacing w:after="0" w:line="240" w:lineRule="auto"/>
        <w:jc w:val="both"/>
        <w:rPr>
          <w:rFonts w:ascii="Tahoma" w:hAnsi="Tahoma" w:cs="Tahoma"/>
        </w:rPr>
      </w:pPr>
    </w:p>
    <w:p w:rsidR="000E7149" w:rsidRDefault="00E610EF" w:rsidP="00E610EF">
      <w:pPr>
        <w:spacing w:after="0" w:line="240" w:lineRule="auto"/>
        <w:jc w:val="both"/>
        <w:rPr>
          <w:rFonts w:ascii="Tahoma" w:hAnsi="Tahoma" w:cs="Tahoma"/>
        </w:rPr>
      </w:pPr>
      <w:r>
        <w:rPr>
          <w:rFonts w:ascii="Tahoma" w:hAnsi="Tahoma" w:cs="Tahoma"/>
        </w:rPr>
        <w:t xml:space="preserve">The </w:t>
      </w:r>
      <w:r w:rsidRPr="0066195F">
        <w:rPr>
          <w:rFonts w:ascii="Tahoma" w:hAnsi="Tahoma" w:cs="Tahoma"/>
          <w:b/>
        </w:rPr>
        <w:t>Strategic Grant</w:t>
      </w:r>
      <w:r>
        <w:rPr>
          <w:rFonts w:ascii="Tahoma" w:hAnsi="Tahoma" w:cs="Tahoma"/>
        </w:rPr>
        <w:t xml:space="preserve"> for which GL has received provisional approval is called </w:t>
      </w:r>
      <w:r w:rsidRPr="000E7149">
        <w:rPr>
          <w:rFonts w:ascii="Tahoma" w:hAnsi="Tahoma" w:cs="Tahoma"/>
          <w:b/>
        </w:rPr>
        <w:t xml:space="preserve">“Voice and Choice: From Local to Regional Action.” </w:t>
      </w:r>
      <w:r>
        <w:rPr>
          <w:rFonts w:ascii="Tahoma" w:hAnsi="Tahoma" w:cs="Tahoma"/>
        </w:rPr>
        <w:t>In line with the more flexible, strategic thrust of this grant</w:t>
      </w:r>
      <w:r w:rsidR="002E0042">
        <w:rPr>
          <w:rFonts w:ascii="Tahoma" w:hAnsi="Tahoma" w:cs="Tahoma"/>
        </w:rPr>
        <w:t xml:space="preserve">, the main </w:t>
      </w:r>
      <w:r w:rsidR="00EA597B">
        <w:rPr>
          <w:rFonts w:ascii="Tahoma" w:hAnsi="Tahoma" w:cs="Tahoma"/>
        </w:rPr>
        <w:t>of this grant is to connect the dots from local, to national, to regional level. The hands and feet of the grant are the 425 COE for Gende</w:t>
      </w:r>
      <w:r w:rsidR="000E7149">
        <w:rPr>
          <w:rFonts w:ascii="Tahoma" w:hAnsi="Tahoma" w:cs="Tahoma"/>
        </w:rPr>
        <w:t>r in Local government. The action</w:t>
      </w:r>
      <w:r w:rsidR="00EA597B">
        <w:rPr>
          <w:rFonts w:ascii="Tahoma" w:hAnsi="Tahoma" w:cs="Tahoma"/>
        </w:rPr>
        <w:t xml:space="preserve"> includes</w:t>
      </w:r>
      <w:r w:rsidR="000E7149">
        <w:rPr>
          <w:rFonts w:ascii="Tahoma" w:hAnsi="Tahoma" w:cs="Tahoma"/>
        </w:rPr>
        <w:t xml:space="preserve">: </w:t>
      </w:r>
    </w:p>
    <w:p w:rsidR="00E610EF" w:rsidRDefault="0056686B" w:rsidP="000E7149">
      <w:pPr>
        <w:pStyle w:val="ListParagraph"/>
        <w:numPr>
          <w:ilvl w:val="0"/>
          <w:numId w:val="5"/>
        </w:numPr>
        <w:spacing w:after="0" w:line="240" w:lineRule="auto"/>
        <w:jc w:val="both"/>
        <w:rPr>
          <w:rFonts w:ascii="Tahoma" w:hAnsi="Tahoma" w:cs="Tahoma"/>
        </w:rPr>
      </w:pPr>
      <w:r>
        <w:rPr>
          <w:rFonts w:ascii="Tahoma" w:hAnsi="Tahoma" w:cs="Tahoma"/>
          <w:noProof/>
          <w:lang w:eastAsia="en-GB"/>
        </w:rPr>
        <mc:AlternateContent>
          <mc:Choice Requires="wps">
            <w:drawing>
              <wp:anchor distT="0" distB="0" distL="114300" distR="114300" simplePos="0" relativeHeight="251668480" behindDoc="0" locked="0" layoutInCell="1" allowOverlap="1" wp14:anchorId="2069167F" wp14:editId="7A90D5A2">
                <wp:simplePos x="0" y="0"/>
                <wp:positionH relativeFrom="column">
                  <wp:posOffset>4158615</wp:posOffset>
                </wp:positionH>
                <wp:positionV relativeFrom="paragraph">
                  <wp:posOffset>82550</wp:posOffset>
                </wp:positionV>
                <wp:extent cx="1680845" cy="1985645"/>
                <wp:effectExtent l="0" t="0" r="14605" b="14605"/>
                <wp:wrapSquare wrapText="bothSides"/>
                <wp:docPr id="4" name="Text Box 4"/>
                <wp:cNvGraphicFramePr/>
                <a:graphic xmlns:a="http://schemas.openxmlformats.org/drawingml/2006/main">
                  <a:graphicData uri="http://schemas.microsoft.com/office/word/2010/wordprocessingShape">
                    <wps:wsp>
                      <wps:cNvSpPr txBox="1"/>
                      <wps:spPr>
                        <a:xfrm>
                          <a:off x="0" y="0"/>
                          <a:ext cx="1680845" cy="198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686B" w:rsidRDefault="0056686B">
                            <w:r>
                              <w:t>As the Barometer turns ten in 2018, it will feature a Spotlight on the #</w:t>
                            </w:r>
                            <w:proofErr w:type="spellStart"/>
                            <w:r>
                              <w:t>SheDecidesSouthernAfrica</w:t>
                            </w:r>
                            <w:proofErr w:type="spellEnd"/>
                            <w:r>
                              <w:t xml:space="preserve"> campaign that touches on many chapters – Constitutional and legal; education; health; GBV; HIV and Aids to name a few.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27.45pt;margin-top:6.5pt;width:132.35pt;height:15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" fillcolor="white [3201]" strokeweight=".5pt">
                <v:textbox>
                  <w:txbxContent>
                    <w:p w:rsidR="0056686B" w:rsidRDefault="0056686B">
                      <w:r>
                        <w:t>As the Barometer turns ten in 2018, it will feature a Spotlight on the #</w:t>
                      </w:r>
                      <w:proofErr w:type="spellStart"/>
                      <w:r>
                        <w:t>SheDecidesSouthernAfrica</w:t>
                      </w:r>
                      <w:proofErr w:type="spellEnd"/>
                      <w:r>
                        <w:t xml:space="preserve"> campaign that touches on many chapters – Constitutional and legal; education; health; GBV; HIV and Aids to name a few. </w:t>
                      </w:r>
                    </w:p>
                  </w:txbxContent>
                </v:textbox>
                <w10:wrap type="square"/>
              </v:shape>
            </w:pict>
          </mc:Fallback>
        </mc:AlternateContent>
      </w:r>
      <w:r w:rsidR="000E7149">
        <w:rPr>
          <w:rFonts w:ascii="Tahoma" w:hAnsi="Tahoma" w:cs="Tahoma"/>
        </w:rPr>
        <w:t xml:space="preserve">Bringing the local level partners into the Alliance partnership, including a Network of Young Women Junior Councillors, to join the Young Women’s Alliance. </w:t>
      </w:r>
    </w:p>
    <w:p w:rsidR="000E7149" w:rsidRDefault="000E7149" w:rsidP="000E7149">
      <w:pPr>
        <w:pStyle w:val="ListParagraph"/>
        <w:numPr>
          <w:ilvl w:val="0"/>
          <w:numId w:val="5"/>
        </w:numPr>
        <w:spacing w:after="0" w:line="240" w:lineRule="auto"/>
        <w:jc w:val="both"/>
        <w:rPr>
          <w:rFonts w:ascii="Tahoma" w:hAnsi="Tahoma" w:cs="Tahoma"/>
        </w:rPr>
      </w:pPr>
      <w:r>
        <w:rPr>
          <w:rFonts w:ascii="Tahoma" w:hAnsi="Tahoma" w:cs="Tahoma"/>
        </w:rPr>
        <w:t xml:space="preserve">Developing model SRHR policies </w:t>
      </w:r>
      <w:r w:rsidR="0056686B">
        <w:rPr>
          <w:rFonts w:ascii="Tahoma" w:hAnsi="Tahoma" w:cs="Tahoma"/>
        </w:rPr>
        <w:t xml:space="preserve">at national level and cascading these to the local level. </w:t>
      </w:r>
    </w:p>
    <w:p w:rsidR="0056686B" w:rsidRDefault="0056686B" w:rsidP="000E7149">
      <w:pPr>
        <w:pStyle w:val="ListParagraph"/>
        <w:numPr>
          <w:ilvl w:val="0"/>
          <w:numId w:val="5"/>
        </w:numPr>
        <w:spacing w:after="0" w:line="240" w:lineRule="auto"/>
        <w:jc w:val="both"/>
        <w:rPr>
          <w:rFonts w:ascii="Tahoma" w:hAnsi="Tahoma" w:cs="Tahoma"/>
        </w:rPr>
      </w:pPr>
      <w:r>
        <w:rPr>
          <w:rFonts w:ascii="Tahoma" w:hAnsi="Tahoma" w:cs="Tahoma"/>
        </w:rPr>
        <w:t xml:space="preserve">Capacity building for the 800 Gender Focal Persons in the </w:t>
      </w:r>
      <w:proofErr w:type="spellStart"/>
      <w:r>
        <w:rPr>
          <w:rFonts w:ascii="Tahoma" w:hAnsi="Tahoma" w:cs="Tahoma"/>
        </w:rPr>
        <w:t>GCOEs</w:t>
      </w:r>
      <w:proofErr w:type="spellEnd"/>
      <w:r>
        <w:rPr>
          <w:rFonts w:ascii="Tahoma" w:hAnsi="Tahoma" w:cs="Tahoma"/>
        </w:rPr>
        <w:t xml:space="preserve"> as part of strengthening local level action plans and advocacy on SRHR.</w:t>
      </w:r>
    </w:p>
    <w:p w:rsidR="0056686B" w:rsidRDefault="0056686B" w:rsidP="000E7149">
      <w:pPr>
        <w:pStyle w:val="ListParagraph"/>
        <w:numPr>
          <w:ilvl w:val="0"/>
          <w:numId w:val="5"/>
        </w:numPr>
        <w:spacing w:after="0" w:line="240" w:lineRule="auto"/>
        <w:jc w:val="both"/>
        <w:rPr>
          <w:rFonts w:ascii="Tahoma" w:hAnsi="Tahoma" w:cs="Tahoma"/>
        </w:rPr>
      </w:pPr>
      <w:r>
        <w:rPr>
          <w:rFonts w:ascii="Tahoma" w:hAnsi="Tahoma" w:cs="Tahoma"/>
        </w:rPr>
        <w:t>Youth engagement in the provision of services, especially through the Junior Councils and use of IT.</w:t>
      </w:r>
    </w:p>
    <w:p w:rsidR="0056686B" w:rsidRPr="000E7149" w:rsidRDefault="0056686B" w:rsidP="000E7149">
      <w:pPr>
        <w:pStyle w:val="ListParagraph"/>
        <w:numPr>
          <w:ilvl w:val="0"/>
          <w:numId w:val="5"/>
        </w:numPr>
        <w:spacing w:after="0" w:line="240" w:lineRule="auto"/>
        <w:jc w:val="both"/>
        <w:rPr>
          <w:rFonts w:ascii="Tahoma" w:hAnsi="Tahoma" w:cs="Tahoma"/>
        </w:rPr>
      </w:pPr>
      <w:r>
        <w:rPr>
          <w:rFonts w:ascii="Tahoma" w:hAnsi="Tahoma" w:cs="Tahoma"/>
        </w:rPr>
        <w:t xml:space="preserve">Gathering evidence, peer learning and sharing through the SADC Protocol@Work summits; tracking progress through the Barometer.  </w:t>
      </w:r>
    </w:p>
    <w:p w:rsidR="0080576F" w:rsidRPr="00812902" w:rsidRDefault="0080576F" w:rsidP="00812902">
      <w:pPr>
        <w:ind w:left="5760"/>
        <w:rPr>
          <w:rFonts w:ascii="Tahoma" w:hAnsi="Tahoma" w:cs="Tahoma"/>
        </w:rPr>
      </w:pPr>
      <w:r w:rsidRPr="00812902">
        <w:rPr>
          <w:rFonts w:ascii="Tahoma" w:hAnsi="Tahoma" w:cs="Tahoma"/>
        </w:rPr>
        <w:br w:type="page"/>
      </w:r>
    </w:p>
    <w:p w:rsidR="0080576F" w:rsidRDefault="0080576F">
      <w:pPr>
        <w:sectPr w:rsidR="0080576F">
          <w:footerReference w:type="default" r:id="rId8"/>
          <w:pgSz w:w="11906" w:h="16838"/>
          <w:pgMar w:top="1440" w:right="1440" w:bottom="1440" w:left="1440" w:header="708" w:footer="708" w:gutter="0"/>
          <w:cols w:space="708"/>
          <w:docGrid w:linePitch="360"/>
        </w:sectPr>
      </w:pPr>
    </w:p>
    <w:p w:rsidR="0080576F" w:rsidRPr="0080576F" w:rsidRDefault="0080576F" w:rsidP="007D72FE">
      <w:pPr>
        <w:ind w:left="2880" w:firstLine="720"/>
        <w:rPr>
          <w:rFonts w:ascii="Tahoma" w:hAnsi="Tahoma" w:cs="Tahoma"/>
          <w:b/>
        </w:rPr>
        <w:sectPr w:rsidR="0080576F" w:rsidRPr="0080576F" w:rsidSect="0080576F">
          <w:pgSz w:w="16838" w:h="11906" w:orient="landscape"/>
          <w:pgMar w:top="1440" w:right="1440" w:bottom="1440" w:left="1440" w:header="709" w:footer="709" w:gutter="0"/>
          <w:cols w:space="708"/>
          <w:docGrid w:linePitch="360"/>
        </w:sectPr>
      </w:pPr>
      <w:r w:rsidRPr="0080576F">
        <w:rPr>
          <w:rFonts w:ascii="Tahoma" w:hAnsi="Tahoma" w:cs="Tahoma"/>
          <w:b/>
          <w:noProof/>
          <w:lang w:eastAsia="en-GB"/>
        </w:rPr>
        <w:lastRenderedPageBreak/>
        <w:drawing>
          <wp:anchor distT="0" distB="0" distL="114300" distR="114300" simplePos="0" relativeHeight="251658240" behindDoc="0" locked="0" layoutInCell="1" allowOverlap="1" wp14:anchorId="2B97A162" wp14:editId="73170743">
            <wp:simplePos x="0" y="0"/>
            <wp:positionH relativeFrom="column">
              <wp:posOffset>97790</wp:posOffset>
            </wp:positionH>
            <wp:positionV relativeFrom="paragraph">
              <wp:posOffset>432435</wp:posOffset>
            </wp:positionV>
            <wp:extent cx="8396605" cy="5739130"/>
            <wp:effectExtent l="0" t="0" r="4445" b="0"/>
            <wp:wrapSquare wrapText="bothSides"/>
            <wp:docPr id="1" name="Picture 1" descr="C:\Users\Colleen\OneDrive - No 9 Derrick Avenue\CLM\8. DONORS\Z.Unsuccessful applications\RNE\3A THEORY OF CHANGE\Voice&amp;Choice SRHRfin2b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OneDrive - No 9 Derrick Avenue\CLM\8. DONORS\Z.Unsuccessful applications\RNE\3A THEORY OF CHANGE\Voice&amp;Choice SRHRfin2b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6605" cy="573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0EF">
        <w:rPr>
          <w:rFonts w:ascii="Tahoma" w:hAnsi="Tahoma" w:cs="Tahoma"/>
          <w:b/>
        </w:rPr>
        <w:t xml:space="preserve">ANNEX A: </w:t>
      </w:r>
      <w:r w:rsidRPr="0080576F">
        <w:rPr>
          <w:rFonts w:ascii="Tahoma" w:hAnsi="Tahoma" w:cs="Tahoma"/>
          <w:b/>
        </w:rPr>
        <w:t xml:space="preserve">GL’s THEORY OF CHANGE FOR </w:t>
      </w:r>
      <w:r w:rsidR="007D72FE">
        <w:rPr>
          <w:rFonts w:ascii="Tahoma" w:hAnsi="Tahoma" w:cs="Tahoma"/>
          <w:b/>
        </w:rPr>
        <w:t xml:space="preserve">PROMOTING </w:t>
      </w:r>
      <w:r w:rsidRPr="0080576F">
        <w:rPr>
          <w:rFonts w:ascii="Tahoma" w:hAnsi="Tahoma" w:cs="Tahoma"/>
          <w:b/>
        </w:rPr>
        <w:t xml:space="preserve">SRHR IN SOUTHERN AFRICA </w:t>
      </w:r>
    </w:p>
    <w:p w:rsidR="00484235" w:rsidRPr="001A5806" w:rsidRDefault="001A5806" w:rsidP="001A5806">
      <w:pPr>
        <w:spacing w:after="0" w:line="240" w:lineRule="auto"/>
        <w:jc w:val="center"/>
        <w:rPr>
          <w:rFonts w:ascii="Tahoma" w:hAnsi="Tahoma" w:cs="Tahoma"/>
          <w:b/>
        </w:rPr>
      </w:pPr>
      <w:r w:rsidRPr="001A5806">
        <w:rPr>
          <w:rFonts w:ascii="Tahoma" w:hAnsi="Tahoma" w:cs="Tahoma"/>
          <w:b/>
        </w:rPr>
        <w:lastRenderedPageBreak/>
        <w:t xml:space="preserve">ANNEX B: COMPLEMENTARITY BETWEEN STRATEGIC AND NETWORK EXTENSION GRANTS </w:t>
      </w:r>
      <w:r w:rsidR="007D72FE">
        <w:rPr>
          <w:rFonts w:ascii="Tahoma" w:hAnsi="Tahoma" w:cs="Tahoma"/>
          <w:b/>
        </w:rPr>
        <w:fldChar w:fldCharType="begin"/>
      </w:r>
      <w:r w:rsidR="007D72FE" w:rsidRPr="001A5806">
        <w:rPr>
          <w:rFonts w:ascii="Tahoma" w:hAnsi="Tahoma" w:cs="Tahoma"/>
          <w:b/>
        </w:rPr>
        <w:instrText xml:space="preserve"> LINK </w:instrText>
      </w:r>
      <w:r w:rsidR="00A61521">
        <w:rPr>
          <w:rFonts w:ascii="Tahoma" w:hAnsi="Tahoma" w:cs="Tahoma"/>
          <w:b/>
        </w:rPr>
        <w:instrText xml:space="preserve">Excel.Sheet.12 "C:\\Users\\Colleen\\OneDrive - No 9 Derrick Avenue\\CLM\\8. DONORS\\Amplify Change\\Strategic grant\\ACSTRATEGIC&amp;NETWORKINGGRANTS_clm_062018.xlsx" "Workplan Template!R1C1:R61C2" </w:instrText>
      </w:r>
      <w:r w:rsidR="007D72FE" w:rsidRPr="001A5806">
        <w:rPr>
          <w:rFonts w:ascii="Tahoma" w:hAnsi="Tahoma" w:cs="Tahoma"/>
          <w:b/>
        </w:rPr>
        <w:instrText xml:space="preserve">\a \f 4 \h </w:instrText>
      </w:r>
      <w:r w:rsidR="00DE14D5" w:rsidRPr="001A5806">
        <w:rPr>
          <w:rFonts w:ascii="Tahoma" w:hAnsi="Tahoma" w:cs="Tahoma"/>
          <w:b/>
        </w:rPr>
        <w:instrText xml:space="preserve"> \* MERGEFORMAT </w:instrText>
      </w:r>
      <w:r w:rsidR="007D72FE">
        <w:rPr>
          <w:rFonts w:ascii="Tahoma" w:hAnsi="Tahoma" w:cs="Tahoma"/>
          <w:b/>
        </w:rPr>
        <w:fldChar w:fldCharType="separate"/>
      </w:r>
    </w:p>
    <w:p w:rsidR="007D72FE" w:rsidRDefault="007D72FE">
      <w:r>
        <w:fldChar w:fldCharType="end"/>
      </w:r>
    </w:p>
    <w:tbl>
      <w:tblPr>
        <w:tblW w:w="13608" w:type="dxa"/>
        <w:tblInd w:w="108" w:type="dxa"/>
        <w:tblLook w:val="04A0" w:firstRow="1" w:lastRow="0" w:firstColumn="1" w:lastColumn="0" w:noHBand="0" w:noVBand="1"/>
      </w:tblPr>
      <w:tblGrid>
        <w:gridCol w:w="6237"/>
        <w:gridCol w:w="7371"/>
      </w:tblGrid>
      <w:tr w:rsidR="007D72FE" w:rsidRPr="007D72FE" w:rsidTr="001A5806">
        <w:trPr>
          <w:trHeight w:val="391"/>
          <w:tblHeader/>
        </w:trPr>
        <w:tc>
          <w:tcPr>
            <w:tcW w:w="6237" w:type="dxa"/>
            <w:vMerge w:val="restar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7D72FE" w:rsidRPr="007D72FE" w:rsidRDefault="007B72CB" w:rsidP="00BE0565">
            <w:pPr>
              <w:spacing w:after="0" w:line="240" w:lineRule="auto"/>
              <w:jc w:val="center"/>
              <w:rPr>
                <w:rFonts w:ascii="Calibri Light" w:eastAsia="Times New Roman" w:hAnsi="Calibri Light" w:cs="Times New Roman"/>
                <w:b/>
                <w:bCs/>
                <w:sz w:val="32"/>
                <w:szCs w:val="32"/>
                <w:lang w:eastAsia="en-GB"/>
              </w:rPr>
            </w:pPr>
            <w:r w:rsidRPr="00A01EE7">
              <w:rPr>
                <w:rFonts w:ascii="Tahoma" w:hAnsi="Tahoma" w:cs="Tahoma"/>
                <w:b/>
              </w:rPr>
              <w:t>VOICE AND CHOICE FROM LOCAL TO REGIONAL ACTION</w:t>
            </w:r>
          </w:p>
        </w:tc>
        <w:tc>
          <w:tcPr>
            <w:tcW w:w="7371" w:type="dxa"/>
            <w:vMerge w:val="restar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7D72FE" w:rsidRPr="007D72FE" w:rsidRDefault="007B72CB" w:rsidP="00BE0565">
            <w:pPr>
              <w:spacing w:after="0" w:line="240" w:lineRule="auto"/>
              <w:jc w:val="center"/>
              <w:rPr>
                <w:rFonts w:ascii="Calibri Light" w:eastAsia="Times New Roman" w:hAnsi="Calibri Light" w:cs="Times New Roman"/>
                <w:b/>
                <w:bCs/>
                <w:sz w:val="32"/>
                <w:szCs w:val="32"/>
                <w:lang w:eastAsia="en-GB"/>
              </w:rPr>
            </w:pPr>
            <w:r>
              <w:rPr>
                <w:rFonts w:ascii="Tahoma" w:hAnsi="Tahoma" w:cs="Tahoma"/>
              </w:rPr>
              <w:t>#</w:t>
            </w:r>
            <w:proofErr w:type="spellStart"/>
            <w:r w:rsidRPr="007B72CB">
              <w:rPr>
                <w:rFonts w:ascii="Tahoma" w:hAnsi="Tahoma" w:cs="Tahoma"/>
                <w:b/>
              </w:rPr>
              <w:t>SHEDECIDES</w:t>
            </w:r>
            <w:proofErr w:type="spellEnd"/>
            <w:r w:rsidRPr="007B72CB">
              <w:rPr>
                <w:rFonts w:ascii="Tahoma" w:hAnsi="Tahoma" w:cs="Tahoma"/>
                <w:b/>
              </w:rPr>
              <w:t>: STRENGTHENING SRHR NETWORKS AND CAMPAIGNS IN SOUTHERN AFRICA</w:t>
            </w:r>
          </w:p>
        </w:tc>
      </w:tr>
      <w:tr w:rsidR="007D72FE" w:rsidRPr="007D72FE" w:rsidTr="001A5806">
        <w:trPr>
          <w:trHeight w:val="391"/>
          <w:tblHeader/>
        </w:trPr>
        <w:tc>
          <w:tcPr>
            <w:tcW w:w="6237"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D72FE" w:rsidRPr="007D72FE" w:rsidRDefault="007D72FE" w:rsidP="00BE0565">
            <w:pPr>
              <w:spacing w:after="0" w:line="240" w:lineRule="auto"/>
              <w:rPr>
                <w:rFonts w:ascii="Calibri Light" w:eastAsia="Times New Roman" w:hAnsi="Calibri Light" w:cs="Times New Roman"/>
                <w:b/>
                <w:bCs/>
                <w:sz w:val="32"/>
                <w:szCs w:val="32"/>
                <w:lang w:eastAsia="en-GB"/>
              </w:rPr>
            </w:pPr>
          </w:p>
        </w:tc>
        <w:tc>
          <w:tcPr>
            <w:tcW w:w="737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7D72FE" w:rsidRPr="007D72FE" w:rsidRDefault="007D72FE" w:rsidP="00BE0565">
            <w:pPr>
              <w:spacing w:after="0" w:line="240" w:lineRule="auto"/>
              <w:rPr>
                <w:rFonts w:ascii="Calibri Light" w:eastAsia="Times New Roman" w:hAnsi="Calibri Light" w:cs="Times New Roman"/>
                <w:b/>
                <w:bCs/>
                <w:sz w:val="32"/>
                <w:szCs w:val="32"/>
                <w:lang w:eastAsia="en-GB"/>
              </w:rPr>
            </w:pPr>
          </w:p>
        </w:tc>
      </w:tr>
      <w:tr w:rsidR="007D72FE" w:rsidRPr="007D72FE" w:rsidTr="001A5806">
        <w:trPr>
          <w:trHeight w:val="315"/>
          <w:tblHeader/>
        </w:trPr>
        <w:tc>
          <w:tcPr>
            <w:tcW w:w="6237"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D72FE" w:rsidRPr="007D72FE" w:rsidRDefault="007D72FE" w:rsidP="00BE0565">
            <w:pPr>
              <w:spacing w:after="0" w:line="240" w:lineRule="auto"/>
              <w:jc w:val="center"/>
              <w:rPr>
                <w:rFonts w:ascii="Calibri Light" w:eastAsia="Times New Roman" w:hAnsi="Calibri Light" w:cs="Times New Roman"/>
                <w:b/>
                <w:bCs/>
                <w:color w:val="000000" w:themeColor="text1"/>
                <w:lang w:eastAsia="en-GB"/>
              </w:rPr>
            </w:pPr>
            <w:r w:rsidRPr="007D72FE">
              <w:rPr>
                <w:rFonts w:ascii="Calibri Light" w:eastAsia="Times New Roman" w:hAnsi="Calibri Light" w:cs="Times New Roman"/>
                <w:b/>
                <w:bCs/>
                <w:color w:val="000000" w:themeColor="text1"/>
                <w:lang w:eastAsia="en-GB"/>
              </w:rPr>
              <w:t xml:space="preserve">PROPOSED ACTIVITIES STRATEGIC GRANT </w:t>
            </w:r>
          </w:p>
        </w:tc>
        <w:tc>
          <w:tcPr>
            <w:tcW w:w="7371"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D72FE" w:rsidRPr="007D72FE" w:rsidRDefault="007D72FE" w:rsidP="00BE0565">
            <w:pPr>
              <w:spacing w:after="0" w:line="240" w:lineRule="auto"/>
              <w:jc w:val="center"/>
              <w:rPr>
                <w:rFonts w:ascii="Calibri Light" w:eastAsia="Times New Roman" w:hAnsi="Calibri Light" w:cs="Times New Roman"/>
                <w:b/>
                <w:bCs/>
                <w:color w:val="000000" w:themeColor="text1"/>
                <w:lang w:eastAsia="en-GB"/>
              </w:rPr>
            </w:pPr>
            <w:r w:rsidRPr="007D72FE">
              <w:rPr>
                <w:rFonts w:ascii="Calibri Light" w:eastAsia="Times New Roman" w:hAnsi="Calibri Light" w:cs="Times New Roman"/>
                <w:b/>
                <w:bCs/>
                <w:color w:val="000000" w:themeColor="text1"/>
                <w:lang w:eastAsia="en-GB"/>
              </w:rPr>
              <w:t>PROPOSED ACTIVIT</w:t>
            </w:r>
            <w:r w:rsidR="00554AC7" w:rsidRPr="001A5806">
              <w:rPr>
                <w:rFonts w:ascii="Calibri Light" w:eastAsia="Times New Roman" w:hAnsi="Calibri Light" w:cs="Times New Roman"/>
                <w:b/>
                <w:bCs/>
                <w:color w:val="000000" w:themeColor="text1"/>
                <w:lang w:eastAsia="en-GB"/>
              </w:rPr>
              <w:t>I</w:t>
            </w:r>
            <w:r w:rsidRPr="007D72FE">
              <w:rPr>
                <w:rFonts w:ascii="Calibri Light" w:eastAsia="Times New Roman" w:hAnsi="Calibri Light" w:cs="Times New Roman"/>
                <w:b/>
                <w:bCs/>
                <w:color w:val="000000" w:themeColor="text1"/>
                <w:lang w:eastAsia="en-GB"/>
              </w:rPr>
              <w:t>ES NETWORK EXTENSION</w:t>
            </w:r>
          </w:p>
        </w:tc>
      </w:tr>
      <w:tr w:rsidR="007D72FE" w:rsidRPr="007D72FE" w:rsidTr="001A5806">
        <w:trPr>
          <w:trHeight w:val="300"/>
          <w:tblHeader/>
        </w:trPr>
        <w:tc>
          <w:tcPr>
            <w:tcW w:w="6237"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p>
        </w:tc>
        <w:tc>
          <w:tcPr>
            <w:tcW w:w="737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p>
        </w:tc>
      </w:tr>
      <w:tr w:rsidR="007D72FE" w:rsidRPr="007D72FE" w:rsidTr="001A5806">
        <w:trPr>
          <w:trHeight w:val="269"/>
          <w:tblHeader/>
        </w:trPr>
        <w:tc>
          <w:tcPr>
            <w:tcW w:w="6237"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p>
        </w:tc>
        <w:tc>
          <w:tcPr>
            <w:tcW w:w="7371"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1: Strengthening the SRHR cluster </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3. Advocacy and policy engagement and strengthening of </w:t>
            </w:r>
            <w:proofErr w:type="spellStart"/>
            <w:r w:rsidRPr="007D72FE">
              <w:rPr>
                <w:rFonts w:ascii="Calibri Light" w:eastAsia="Times New Roman" w:hAnsi="Calibri Light" w:cs="Times New Roman"/>
                <w:b/>
                <w:bCs/>
                <w:color w:val="FFFFFF"/>
                <w:lang w:eastAsia="en-GB"/>
              </w:rPr>
              <w:t>LGBTI</w:t>
            </w:r>
            <w:proofErr w:type="spellEnd"/>
            <w:r w:rsidRPr="007D72FE">
              <w:rPr>
                <w:rFonts w:ascii="Calibri Light" w:eastAsia="Times New Roman" w:hAnsi="Calibri Light" w:cs="Times New Roman"/>
                <w:b/>
                <w:bCs/>
                <w:color w:val="FFFFFF"/>
                <w:lang w:eastAsia="en-GB"/>
              </w:rPr>
              <w:t xml:space="preserve"> network in the Alliance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1.1: Mapping of SRHR organisations in target countries </w:t>
            </w:r>
          </w:p>
        </w:tc>
        <w:tc>
          <w:tcPr>
            <w:tcW w:w="7371" w:type="dxa"/>
            <w:tcBorders>
              <w:top w:val="nil"/>
              <w:left w:val="nil"/>
              <w:bottom w:val="single" w:sz="4" w:space="0" w:color="auto"/>
              <w:right w:val="single" w:sz="4" w:space="0" w:color="auto"/>
            </w:tcBorders>
            <w:shd w:val="clear" w:color="auto" w:fill="auto"/>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3.1 Develop a campaign to decriminalise </w:t>
            </w:r>
            <w:proofErr w:type="spellStart"/>
            <w:r w:rsidRPr="007D72FE">
              <w:rPr>
                <w:rFonts w:ascii="Calibri Light" w:eastAsia="Times New Roman" w:hAnsi="Calibri Light" w:cs="Times New Roman"/>
                <w:color w:val="000000"/>
                <w:lang w:eastAsia="en-GB"/>
              </w:rPr>
              <w:t>LGBTI</w:t>
            </w:r>
            <w:proofErr w:type="spellEnd"/>
            <w:r w:rsidRPr="007D72FE">
              <w:rPr>
                <w:rFonts w:ascii="Calibri Light" w:eastAsia="Times New Roman" w:hAnsi="Calibri Light" w:cs="Times New Roman"/>
                <w:color w:val="000000"/>
                <w:lang w:eastAsia="en-GB"/>
              </w:rPr>
              <w:t xml:space="preserve"> in at least 7 countries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1.2: Identifying youth champions for SRHR at national and local level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3.2 Collection of case studies on best practices on </w:t>
            </w:r>
            <w:proofErr w:type="spellStart"/>
            <w:r w:rsidRPr="007D72FE">
              <w:rPr>
                <w:rFonts w:ascii="Calibri Light" w:eastAsia="Times New Roman" w:hAnsi="Calibri Light" w:cs="Times New Roman"/>
                <w:color w:val="000000"/>
                <w:lang w:eastAsia="en-GB"/>
              </w:rPr>
              <w:t>LGBTI</w:t>
            </w:r>
            <w:proofErr w:type="spellEnd"/>
            <w:r w:rsidRPr="007D72FE">
              <w:rPr>
                <w:rFonts w:ascii="Calibri Light" w:eastAsia="Times New Roman" w:hAnsi="Calibri Light" w:cs="Times New Roman"/>
                <w:color w:val="000000"/>
                <w:lang w:eastAsia="en-GB"/>
              </w:rPr>
              <w:t xml:space="preserve">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1.3: Mapping of </w:t>
            </w:r>
            <w:proofErr w:type="spellStart"/>
            <w:r w:rsidRPr="007D72FE">
              <w:rPr>
                <w:rFonts w:ascii="Calibri Light" w:eastAsia="Times New Roman" w:hAnsi="Calibri Light" w:cs="Times New Roman"/>
                <w:color w:val="000000"/>
                <w:lang w:eastAsia="en-GB"/>
              </w:rPr>
              <w:t>LGBTI</w:t>
            </w:r>
            <w:proofErr w:type="spellEnd"/>
            <w:r w:rsidRPr="007D72FE">
              <w:rPr>
                <w:rFonts w:ascii="Calibri Light" w:eastAsia="Times New Roman" w:hAnsi="Calibri Light" w:cs="Times New Roman"/>
                <w:color w:val="000000"/>
                <w:lang w:eastAsia="en-GB"/>
              </w:rPr>
              <w:t xml:space="preserve"> groups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3.3  Meeting with   </w:t>
            </w:r>
            <w:proofErr w:type="spellStart"/>
            <w:r w:rsidRPr="007D72FE">
              <w:rPr>
                <w:rFonts w:ascii="Calibri Light" w:eastAsia="Times New Roman" w:hAnsi="Calibri Light" w:cs="Times New Roman"/>
                <w:color w:val="000000"/>
                <w:lang w:eastAsia="en-GB"/>
              </w:rPr>
              <w:t>LGBTI</w:t>
            </w:r>
            <w:proofErr w:type="spellEnd"/>
            <w:r w:rsidRPr="007D72FE">
              <w:rPr>
                <w:rFonts w:ascii="Calibri Light" w:eastAsia="Times New Roman" w:hAnsi="Calibri Light" w:cs="Times New Roman"/>
                <w:color w:val="000000"/>
                <w:lang w:eastAsia="en-GB"/>
              </w:rPr>
              <w:t xml:space="preserve"> networks in the region   </w:t>
            </w:r>
          </w:p>
        </w:tc>
      </w:tr>
      <w:tr w:rsidR="007D72FE" w:rsidRPr="007D72FE" w:rsidTr="00554AC7">
        <w:trPr>
          <w:trHeight w:val="31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1.4: Convene SRHR national cluster meetings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3.4 Policy dialogues with relevant government departments and policy makers in the 7 identified country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1.5: Convene a SRHR regional cluster meetings</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4. Partnerships with non-traditional SRHR allies – </w:t>
            </w:r>
            <w:proofErr w:type="spellStart"/>
            <w:r w:rsidRPr="007D72FE">
              <w:rPr>
                <w:rFonts w:ascii="Calibri Light" w:eastAsia="Times New Roman" w:hAnsi="Calibri Light" w:cs="Times New Roman"/>
                <w:b/>
                <w:bCs/>
                <w:color w:val="FFFFFF"/>
                <w:lang w:eastAsia="en-GB"/>
              </w:rPr>
              <w:t>FBOs</w:t>
            </w:r>
            <w:proofErr w:type="spellEnd"/>
            <w:r w:rsidRPr="007D72FE">
              <w:rPr>
                <w:rFonts w:ascii="Calibri Light" w:eastAsia="Times New Roman" w:hAnsi="Calibri Light" w:cs="Times New Roman"/>
                <w:b/>
                <w:bCs/>
                <w:color w:val="FFFFFF"/>
                <w:lang w:eastAsia="en-GB"/>
              </w:rPr>
              <w:t xml:space="preserve">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 Sub-activity 1.6: Hold discussions forums on SRHR on the Alliance and Governance Community of Practice</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4.1 Mapping of  </w:t>
            </w:r>
            <w:proofErr w:type="spellStart"/>
            <w:r w:rsidRPr="007D72FE">
              <w:rPr>
                <w:rFonts w:ascii="Calibri Light" w:eastAsia="Times New Roman" w:hAnsi="Calibri Light" w:cs="Times New Roman"/>
                <w:color w:val="000000"/>
                <w:lang w:eastAsia="en-GB"/>
              </w:rPr>
              <w:t>FBOs</w:t>
            </w:r>
            <w:proofErr w:type="spellEnd"/>
            <w:r w:rsidRPr="007D72FE">
              <w:rPr>
                <w:rFonts w:ascii="Calibri Light" w:eastAsia="Times New Roman" w:hAnsi="Calibri Light" w:cs="Times New Roman"/>
                <w:color w:val="000000"/>
                <w:lang w:eastAsia="en-GB"/>
              </w:rPr>
              <w:t xml:space="preserve"> to partner with in the project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4.2  Regional strategy meeting with FBOS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4.3  Development of a faith based SRHR toolkit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2: Influencing SRHR policies </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5 Analysis and advocacy on SRHR budgeting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2.1: Develop a SRHR model policy and present it to policy makers </w:t>
            </w:r>
          </w:p>
        </w:tc>
        <w:tc>
          <w:tcPr>
            <w:tcW w:w="7371" w:type="dxa"/>
            <w:tcBorders>
              <w:top w:val="nil"/>
              <w:left w:val="nil"/>
              <w:bottom w:val="single" w:sz="4" w:space="0" w:color="auto"/>
              <w:right w:val="single" w:sz="4" w:space="0" w:color="auto"/>
            </w:tcBorders>
            <w:shd w:val="clear" w:color="auto" w:fill="auto"/>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5.1  Audit of  international   and regional  normative framework guidelines  on budgetary allocations on SRHR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2.2: Collect and analyse SRHR data and case studies in target countries  based on the SADC Gender Protocol and other SRHR frameworks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5.2 Training meeting on SRHR budget tracking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2.3: Analyse SRHR national policies and SRHR case studies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7B72CB">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5.3 Development of a scorecard on budgetary allocations on SRHR in SADC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2.4: Compile, edit, print and launch the SRHR  research </w:t>
            </w:r>
            <w:r w:rsidRPr="007D72FE">
              <w:rPr>
                <w:rFonts w:ascii="Calibri Light" w:eastAsia="Times New Roman" w:hAnsi="Calibri Light" w:cs="Times New Roman"/>
                <w:color w:val="000000"/>
                <w:lang w:eastAsia="en-GB"/>
              </w:rPr>
              <w:lastRenderedPageBreak/>
              <w:t xml:space="preserve">publication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lastRenderedPageBreak/>
              <w:t xml:space="preserve">Sub-activity  5.4 Administer the </w:t>
            </w:r>
            <w:proofErr w:type="spellStart"/>
            <w:r w:rsidRPr="007D72FE">
              <w:rPr>
                <w:rFonts w:ascii="Calibri Light" w:eastAsia="Times New Roman" w:hAnsi="Calibri Light" w:cs="Times New Roman"/>
                <w:color w:val="000000"/>
                <w:lang w:eastAsia="en-GB"/>
              </w:rPr>
              <w:t>budgetory</w:t>
            </w:r>
            <w:proofErr w:type="spellEnd"/>
            <w:r w:rsidRPr="007D72FE">
              <w:rPr>
                <w:rFonts w:ascii="Calibri Light" w:eastAsia="Times New Roman" w:hAnsi="Calibri Light" w:cs="Times New Roman"/>
                <w:color w:val="000000"/>
                <w:lang w:eastAsia="en-GB"/>
              </w:rPr>
              <w:t xml:space="preserve"> scorecard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lastRenderedPageBreak/>
              <w:t>Sub-activity 2.5: Hold SRHR policy consultations at national level based on the SRHR research findings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2.6: Develop and distribute </w:t>
            </w:r>
            <w:proofErr w:type="spellStart"/>
            <w:r w:rsidRPr="007D72FE">
              <w:rPr>
                <w:rFonts w:ascii="Calibri Light" w:eastAsia="Times New Roman" w:hAnsi="Calibri Light" w:cs="Times New Roman"/>
                <w:color w:val="000000"/>
                <w:lang w:eastAsia="en-GB"/>
              </w:rPr>
              <w:t>IEC</w:t>
            </w:r>
            <w:proofErr w:type="spellEnd"/>
            <w:r w:rsidRPr="007D72FE">
              <w:rPr>
                <w:rFonts w:ascii="Calibri Light" w:eastAsia="Times New Roman" w:hAnsi="Calibri Light" w:cs="Times New Roman"/>
                <w:color w:val="000000"/>
                <w:lang w:eastAsia="en-GB"/>
              </w:rPr>
              <w:t xml:space="preserve"> materials for SRHR (</w:t>
            </w:r>
            <w:r w:rsidR="00DE14D5" w:rsidRPr="007D72FE">
              <w:rPr>
                <w:rFonts w:ascii="Calibri Light" w:eastAsia="Times New Roman" w:hAnsi="Calibri Light" w:cs="Times New Roman"/>
                <w:color w:val="000000"/>
                <w:lang w:eastAsia="en-GB"/>
              </w:rPr>
              <w:t>pamphlets</w:t>
            </w:r>
            <w:r w:rsidRPr="007D72FE">
              <w:rPr>
                <w:rFonts w:ascii="Calibri Light" w:eastAsia="Times New Roman" w:hAnsi="Calibri Light" w:cs="Times New Roman"/>
                <w:color w:val="000000"/>
                <w:lang w:eastAsia="en-GB"/>
              </w:rPr>
              <w:t xml:space="preserve">, banners and t-shirts)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2.7: Hold SRHR side events at international, regional and continental platforms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Activity 3. SRHR Campaigns and advocacy strategy</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1. Evidence gathering and campaigns on resurgence of HIV and AIDS and young women, Child Marriages and Menstrual Health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3.1: Identify digital and social media platforms for SRHR campaigns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1.1 </w:t>
            </w:r>
            <w:proofErr w:type="gramStart"/>
            <w:r w:rsidRPr="007D72FE">
              <w:rPr>
                <w:rFonts w:ascii="Calibri Light" w:eastAsia="Times New Roman" w:hAnsi="Calibri Light" w:cs="Times New Roman"/>
                <w:color w:val="000000"/>
                <w:lang w:eastAsia="en-GB"/>
              </w:rPr>
              <w:t>Analysis  emerging</w:t>
            </w:r>
            <w:proofErr w:type="gramEnd"/>
            <w:r w:rsidRPr="007D72FE">
              <w:rPr>
                <w:rFonts w:ascii="Calibri Light" w:eastAsia="Times New Roman" w:hAnsi="Calibri Light" w:cs="Times New Roman"/>
                <w:color w:val="000000"/>
                <w:lang w:eastAsia="en-GB"/>
              </w:rPr>
              <w:t xml:space="preserve"> trends on the resurgence of HIV and AIDS especially among young women. </w:t>
            </w:r>
          </w:p>
        </w:tc>
      </w:tr>
      <w:tr w:rsidR="007D72FE" w:rsidRPr="007D72FE" w:rsidTr="00554AC7">
        <w:trPr>
          <w:trHeight w:val="9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3.2: Define key messages on SRHR to inform the SRHR campaign and advocacy strategy (these include key messages on SRHR policies, teenage pregnancy, access to SRHR services, GBV, sexual minorities and abortion)</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1.2 Design and review a SRHR campaigns strategy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3.3: Develop and customise the SRHR advocacy strategy for each target country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1.3 Update the website to prepare for launch of the campaigns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3.4: Design and communicate the SRHR advocacy strategy</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1.4  Launch the campaign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3.5: Hold discussion forums on SRHR on the Community of Practice </w:t>
            </w:r>
          </w:p>
        </w:tc>
        <w:tc>
          <w:tcPr>
            <w:tcW w:w="7371" w:type="dxa"/>
            <w:tcBorders>
              <w:top w:val="nil"/>
              <w:left w:val="nil"/>
              <w:bottom w:val="single" w:sz="4" w:space="0" w:color="auto"/>
              <w:right w:val="single" w:sz="4" w:space="0" w:color="auto"/>
            </w:tcBorders>
            <w:shd w:val="clear" w:color="auto" w:fill="auto"/>
            <w:vAlign w:val="bottom"/>
            <w:hideMark/>
          </w:tcPr>
          <w:p w:rsidR="007D72FE" w:rsidRPr="007D72FE" w:rsidRDefault="007D72FE" w:rsidP="00DE14D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 activity 1.5 Implement the campaign strategy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3.6:</w:t>
            </w:r>
            <w:r w:rsidR="002E0042">
              <w:rPr>
                <w:rFonts w:ascii="Calibri Light" w:eastAsia="Times New Roman" w:hAnsi="Calibri Light" w:cs="Times New Roman"/>
                <w:color w:val="000000"/>
                <w:lang w:eastAsia="en-GB"/>
              </w:rPr>
              <w:t xml:space="preserve"> </w:t>
            </w:r>
            <w:r w:rsidRPr="007D72FE">
              <w:rPr>
                <w:rFonts w:ascii="Calibri Light" w:eastAsia="Times New Roman" w:hAnsi="Calibri Light" w:cs="Times New Roman"/>
                <w:color w:val="000000"/>
                <w:lang w:eastAsia="en-GB"/>
              </w:rPr>
              <w:t xml:space="preserve">Hold SRHR campaigns on social media and web-based platforms </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2. Media training and collaboration on core campaigns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3.7: Write blogs and press releases on SRHR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2.1 Mapping exercise of media outlets in SADC to be part of the project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2.2  Training meeting for journalists on reporting SRHR topics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lastRenderedPageBreak/>
              <w: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2.3  Commission an  in-depth article on an SRHR topic  in main stream media each quarter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2.4 Media monitoring on reportage on SRHR topics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4. Enhancing youth involvement on SRHR at a community level </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Activity 6: Enhancing campaigns and collaboration at grassroots through the Alliance Community of Practise</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4.1: Design a local government SRHR module which includes sexuality and SRHR policies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6.1 Hold online forums on the </w:t>
            </w:r>
            <w:proofErr w:type="spellStart"/>
            <w:r w:rsidRPr="007D72FE">
              <w:rPr>
                <w:rFonts w:ascii="Calibri Light" w:eastAsia="Times New Roman" w:hAnsi="Calibri Light" w:cs="Times New Roman"/>
                <w:color w:val="000000"/>
                <w:lang w:eastAsia="en-GB"/>
              </w:rPr>
              <w:t>Allaince</w:t>
            </w:r>
            <w:proofErr w:type="spellEnd"/>
            <w:r w:rsidRPr="007D72FE">
              <w:rPr>
                <w:rFonts w:ascii="Calibri Light" w:eastAsia="Times New Roman" w:hAnsi="Calibri Light" w:cs="Times New Roman"/>
                <w:color w:val="000000"/>
                <w:lang w:eastAsia="en-GB"/>
              </w:rPr>
              <w:t xml:space="preserve"> community of practise on SRHR topics twice a year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4.2: Develop youth and gender aware SRHR policies for local government</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6.2 Hold Marches during 16 Days of Activism in support of the SRHR campaigns</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4.3: Develop/review local government action plans including SRHR and youth</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w:t>
            </w:r>
            <w:proofErr w:type="spellStart"/>
            <w:r w:rsidRPr="007D72FE">
              <w:rPr>
                <w:rFonts w:ascii="Calibri Light" w:eastAsia="Times New Roman" w:hAnsi="Calibri Light" w:cs="Times New Roman"/>
                <w:color w:val="000000"/>
                <w:lang w:eastAsia="en-GB"/>
              </w:rPr>
              <w:t>4.4:Hold</w:t>
            </w:r>
            <w:proofErr w:type="spellEnd"/>
            <w:r w:rsidRPr="007D72FE">
              <w:rPr>
                <w:rFonts w:ascii="Calibri Light" w:eastAsia="Times New Roman" w:hAnsi="Calibri Light" w:cs="Times New Roman"/>
                <w:color w:val="000000"/>
                <w:lang w:eastAsia="en-GB"/>
              </w:rPr>
              <w:t xml:space="preserve"> local government training workshops on SRHR in service delivery including junior councillors in 425 local government COEs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xml:space="preserve">Activity 5: Promote Youth Involvement in SRHR through IT use  </w:t>
            </w:r>
          </w:p>
        </w:tc>
        <w:tc>
          <w:tcPr>
            <w:tcW w:w="7371" w:type="dxa"/>
            <w:tcBorders>
              <w:top w:val="nil"/>
              <w:left w:val="nil"/>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5.1: Hold podcasts on particular SRHR topic</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12"/>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5.2: Hold </w:t>
            </w:r>
            <w:proofErr w:type="spellStart"/>
            <w:r w:rsidRPr="007D72FE">
              <w:rPr>
                <w:rFonts w:ascii="Calibri Light" w:eastAsia="Times New Roman" w:hAnsi="Calibri Light" w:cs="Times New Roman"/>
                <w:color w:val="000000"/>
                <w:lang w:eastAsia="en-GB"/>
              </w:rPr>
              <w:t>talkshows</w:t>
            </w:r>
            <w:proofErr w:type="spellEnd"/>
            <w:r w:rsidRPr="007D72FE">
              <w:rPr>
                <w:rFonts w:ascii="Calibri Light" w:eastAsia="Times New Roman" w:hAnsi="Calibri Light" w:cs="Times New Roman"/>
                <w:color w:val="000000"/>
                <w:lang w:eastAsia="en-GB"/>
              </w:rPr>
              <w:t xml:space="preserve"> on particular SRHR topics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5.3: Conduct local community dramas on SRHR and upload the drama videos on website, social media and mobile technology</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5.4: Hold youth focussed campaigns on social media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Activity 6: LEARNING, MONITORING &amp; EVALUATION</w:t>
            </w:r>
          </w:p>
        </w:tc>
        <w:tc>
          <w:tcPr>
            <w:tcW w:w="7371" w:type="dxa"/>
            <w:tcBorders>
              <w:top w:val="nil"/>
              <w:left w:val="nil"/>
              <w:bottom w:val="single" w:sz="4" w:space="0" w:color="auto"/>
              <w:right w:val="single" w:sz="4" w:space="0" w:color="auto"/>
            </w:tcBorders>
            <w:shd w:val="clear" w:color="000000" w:fill="92CDDC"/>
            <w:noWrap/>
            <w:vAlign w:val="bottom"/>
            <w:hideMark/>
          </w:tcPr>
          <w:p w:rsidR="007D72FE" w:rsidRPr="007D72FE" w:rsidRDefault="007D72FE" w:rsidP="00BE0565">
            <w:pPr>
              <w:spacing w:after="0" w:line="240" w:lineRule="auto"/>
              <w:ind w:firstLineChars="100" w:firstLine="221"/>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Activity 7: LEARNING, MONITORING &amp; EVALUATION</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6.1: Develop a SRHR summit concept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7.1 Collect case studies on SRHR issues in SADC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6.2: Gather SRHR case studies from local government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7.2 Analyse case studies on SRHR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6.3: Launch call for participation at the SRHR summit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7.3 Compile mont</w:t>
            </w:r>
            <w:r w:rsidR="00E610EF">
              <w:rPr>
                <w:rFonts w:ascii="Calibri Light" w:eastAsia="Times New Roman" w:hAnsi="Calibri Light" w:cs="Times New Roman"/>
                <w:color w:val="000000"/>
                <w:lang w:eastAsia="en-GB"/>
              </w:rPr>
              <w:t>h</w:t>
            </w:r>
            <w:r w:rsidRPr="007D72FE">
              <w:rPr>
                <w:rFonts w:ascii="Calibri Light" w:eastAsia="Times New Roman" w:hAnsi="Calibri Light" w:cs="Times New Roman"/>
                <w:color w:val="000000"/>
                <w:lang w:eastAsia="en-GB"/>
              </w:rPr>
              <w:t xml:space="preserve">ly M and E reporting related to the project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E610EF">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lastRenderedPageBreak/>
              <w:t xml:space="preserve">Sub-activity 6.4: Organise and hold SRHR summits in target countries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7.4 Collect I stories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E610EF">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6.5: Write summit report outlining best practices</w:t>
            </w:r>
          </w:p>
        </w:tc>
        <w:tc>
          <w:tcPr>
            <w:tcW w:w="7371" w:type="dxa"/>
            <w:tcBorders>
              <w:top w:val="nil"/>
              <w:left w:val="nil"/>
              <w:bottom w:val="single" w:sz="4" w:space="0" w:color="auto"/>
              <w:right w:val="single" w:sz="4" w:space="0" w:color="auto"/>
            </w:tcBorders>
            <w:shd w:val="clear" w:color="auto" w:fill="auto"/>
            <w:vAlign w:val="bottom"/>
            <w:hideMark/>
          </w:tcPr>
          <w:p w:rsidR="007D72FE" w:rsidRPr="007D72FE" w:rsidRDefault="007D72FE" w:rsidP="00BE0565">
            <w:pPr>
              <w:spacing w:after="0" w:line="240" w:lineRule="auto"/>
              <w:ind w:firstLineChars="100" w:firstLine="220"/>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7.5 Produce a booklet on best practices across the region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E610EF">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6.6: Engage AmplifyChange grantees on SRHR strategies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E610EF">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6.7: Administer the SRHR local government score card and attitudes survey</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E610EF">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w:t>
            </w:r>
            <w:proofErr w:type="spellStart"/>
            <w:r w:rsidRPr="007D72FE">
              <w:rPr>
                <w:rFonts w:ascii="Calibri Light" w:eastAsia="Times New Roman" w:hAnsi="Calibri Light" w:cs="Times New Roman"/>
                <w:color w:val="000000"/>
                <w:lang w:eastAsia="en-GB"/>
              </w:rPr>
              <w:t>6.8:Analyse</w:t>
            </w:r>
            <w:proofErr w:type="spellEnd"/>
            <w:r w:rsidRPr="007D72FE">
              <w:rPr>
                <w:rFonts w:ascii="Calibri Light" w:eastAsia="Times New Roman" w:hAnsi="Calibri Light" w:cs="Times New Roman"/>
                <w:color w:val="000000"/>
                <w:lang w:eastAsia="en-GB"/>
              </w:rPr>
              <w:t xml:space="preserve"> the SRHR local government score card and attitudes survey</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000000" w:fill="5ABCC5"/>
            <w:noWrap/>
            <w:vAlign w:val="bottom"/>
            <w:hideMark/>
          </w:tcPr>
          <w:p w:rsidR="007D72FE" w:rsidRPr="007D72FE" w:rsidRDefault="007D72FE" w:rsidP="00BE0565">
            <w:pPr>
              <w:spacing w:after="0" w:line="240" w:lineRule="auto"/>
              <w:rPr>
                <w:rFonts w:ascii="Calibri Light" w:eastAsia="Times New Roman" w:hAnsi="Calibri Light" w:cs="Times New Roman"/>
                <w:b/>
                <w:bCs/>
                <w:color w:val="FFFFFF"/>
                <w:lang w:eastAsia="en-GB"/>
              </w:rPr>
            </w:pPr>
            <w:r w:rsidRPr="007D72FE">
              <w:rPr>
                <w:rFonts w:ascii="Calibri Light" w:eastAsia="Times New Roman" w:hAnsi="Calibri Light" w:cs="Times New Roman"/>
                <w:b/>
                <w:bCs/>
                <w:color w:val="FFFFFF"/>
                <w:lang w:eastAsia="en-GB"/>
              </w:rPr>
              <w:t>Activity 8: ORGANISATIONAL S</w:t>
            </w:r>
            <w:r w:rsidR="00554AC7">
              <w:rPr>
                <w:rFonts w:ascii="Calibri Light" w:eastAsia="Times New Roman" w:hAnsi="Calibri Light" w:cs="Times New Roman"/>
                <w:b/>
                <w:bCs/>
                <w:color w:val="FFFFFF"/>
                <w:lang w:eastAsia="en-GB"/>
              </w:rPr>
              <w:t>TRENG</w:t>
            </w:r>
            <w:r w:rsidRPr="007D72FE">
              <w:rPr>
                <w:rFonts w:ascii="Calibri Light" w:eastAsia="Times New Roman" w:hAnsi="Calibri Light" w:cs="Times New Roman"/>
                <w:b/>
                <w:bCs/>
                <w:color w:val="FFFFFF"/>
                <w:lang w:eastAsia="en-GB"/>
              </w:rPr>
              <w:t>T</w:t>
            </w:r>
            <w:r w:rsidR="00554AC7">
              <w:rPr>
                <w:rFonts w:ascii="Calibri Light" w:eastAsia="Times New Roman" w:hAnsi="Calibri Light" w:cs="Times New Roman"/>
                <w:b/>
                <w:bCs/>
                <w:color w:val="FFFFFF"/>
                <w:lang w:eastAsia="en-GB"/>
              </w:rPr>
              <w:t>H</w:t>
            </w:r>
            <w:r w:rsidRPr="007D72FE">
              <w:rPr>
                <w:rFonts w:ascii="Calibri Light" w:eastAsia="Times New Roman" w:hAnsi="Calibri Light" w:cs="Times New Roman"/>
                <w:b/>
                <w:bCs/>
                <w:color w:val="FFFFFF"/>
                <w:lang w:eastAsia="en-GB"/>
              </w:rPr>
              <w:t>ENING / CAPACITY BUILDING / SUSTAINABILITY</w:t>
            </w:r>
          </w:p>
        </w:tc>
        <w:tc>
          <w:tcPr>
            <w:tcW w:w="7371" w:type="dxa"/>
            <w:tcBorders>
              <w:top w:val="nil"/>
              <w:left w:val="nil"/>
              <w:bottom w:val="single" w:sz="4" w:space="0" w:color="auto"/>
              <w:right w:val="single" w:sz="4" w:space="0" w:color="auto"/>
            </w:tcBorders>
            <w:shd w:val="clear" w:color="auto" w:fill="92CDDC" w:themeFill="accent5" w:themeFillTint="99"/>
            <w:noWrap/>
            <w:vAlign w:val="bottom"/>
            <w:hideMark/>
          </w:tcPr>
          <w:p w:rsidR="007D72FE" w:rsidRPr="007D72FE" w:rsidRDefault="007D72FE" w:rsidP="00BE0565">
            <w:pPr>
              <w:spacing w:after="0" w:line="240" w:lineRule="auto"/>
              <w:rPr>
                <w:rFonts w:ascii="Calibri Light" w:eastAsia="Times New Roman" w:hAnsi="Calibri Light" w:cs="Times New Roman"/>
                <w:b/>
                <w:color w:val="000000"/>
                <w:lang w:eastAsia="en-GB"/>
              </w:rPr>
            </w:pPr>
            <w:r w:rsidRPr="007D72FE">
              <w:rPr>
                <w:rFonts w:ascii="Calibri Light" w:eastAsia="Times New Roman" w:hAnsi="Calibri Light" w:cs="Times New Roman"/>
                <w:b/>
                <w:color w:val="FFFFFF" w:themeColor="background1"/>
                <w:lang w:eastAsia="en-GB"/>
              </w:rPr>
              <w:t>Activity 8: ORGANISATIONAL S</w:t>
            </w:r>
            <w:r w:rsidR="00554AC7" w:rsidRPr="007E753E">
              <w:rPr>
                <w:rFonts w:ascii="Calibri Light" w:eastAsia="Times New Roman" w:hAnsi="Calibri Light" w:cs="Times New Roman"/>
                <w:b/>
                <w:color w:val="FFFFFF" w:themeColor="background1"/>
                <w:lang w:eastAsia="en-GB"/>
              </w:rPr>
              <w:t>TRENG</w:t>
            </w:r>
            <w:r w:rsidRPr="007D72FE">
              <w:rPr>
                <w:rFonts w:ascii="Calibri Light" w:eastAsia="Times New Roman" w:hAnsi="Calibri Light" w:cs="Times New Roman"/>
                <w:b/>
                <w:color w:val="FFFFFF" w:themeColor="background1"/>
                <w:lang w:eastAsia="en-GB"/>
              </w:rPr>
              <w:t>T</w:t>
            </w:r>
            <w:r w:rsidR="00554AC7" w:rsidRPr="007E753E">
              <w:rPr>
                <w:rFonts w:ascii="Calibri Light" w:eastAsia="Times New Roman" w:hAnsi="Calibri Light" w:cs="Times New Roman"/>
                <w:b/>
                <w:color w:val="FFFFFF" w:themeColor="background1"/>
                <w:lang w:eastAsia="en-GB"/>
              </w:rPr>
              <w:t>H</w:t>
            </w:r>
            <w:r w:rsidRPr="007D72FE">
              <w:rPr>
                <w:rFonts w:ascii="Calibri Light" w:eastAsia="Times New Roman" w:hAnsi="Calibri Light" w:cs="Times New Roman"/>
                <w:b/>
                <w:color w:val="FFFFFF" w:themeColor="background1"/>
                <w:lang w:eastAsia="en-GB"/>
              </w:rPr>
              <w:t>ENING / CAPACITY BUILDING / SUSTAINABILITY</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8.1: Prepare a fundraising toolkit for SRHR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8.1 Organisational capacity assessment , Organisational Development plan developed </w:t>
            </w:r>
          </w:p>
        </w:tc>
      </w:tr>
      <w:tr w:rsidR="007D72FE" w:rsidRPr="007D72FE" w:rsidTr="00554AC7">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8.2: Community of Practice discussion forums on SRHR </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8.2 Organisation development training for small partner organisations</w:t>
            </w:r>
          </w:p>
        </w:tc>
      </w:tr>
      <w:tr w:rsidR="007D72FE" w:rsidRPr="007D72FE" w:rsidTr="00554AC7">
        <w:trPr>
          <w:trHeight w:val="66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8.3: Identifying of key cha</w:t>
            </w:r>
            <w:r w:rsidR="008F75FD">
              <w:rPr>
                <w:rFonts w:ascii="Calibri Light" w:eastAsia="Times New Roman" w:hAnsi="Calibri Light" w:cs="Times New Roman"/>
                <w:color w:val="000000"/>
                <w:lang w:eastAsia="en-GB"/>
              </w:rPr>
              <w:t>m</w:t>
            </w:r>
            <w:r w:rsidRPr="007D72FE">
              <w:rPr>
                <w:rFonts w:ascii="Calibri Light" w:eastAsia="Times New Roman" w:hAnsi="Calibri Light" w:cs="Times New Roman"/>
                <w:color w:val="000000"/>
                <w:lang w:eastAsia="en-GB"/>
              </w:rPr>
              <w:t>pions SRHR at a national level (e.g. government ministers and celebrities)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 xml:space="preserve">Sub-activity 8.3 Hold virtual meetings for small organisations per quarter </w:t>
            </w:r>
          </w:p>
        </w:tc>
      </w:tr>
      <w:tr w:rsidR="007D72FE" w:rsidRPr="007D72FE" w:rsidTr="00554AC7">
        <w:trPr>
          <w:trHeight w:val="6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7D72FE" w:rsidRPr="007D72FE" w:rsidRDefault="007D72FE" w:rsidP="002E0042">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8.4: Hold interviews with SRHR champions and share these with potential funding partners.</w:t>
            </w:r>
          </w:p>
        </w:tc>
        <w:tc>
          <w:tcPr>
            <w:tcW w:w="7371" w:type="dxa"/>
            <w:tcBorders>
              <w:top w:val="nil"/>
              <w:left w:val="nil"/>
              <w:bottom w:val="single" w:sz="4" w:space="0" w:color="auto"/>
              <w:right w:val="single" w:sz="4" w:space="0" w:color="auto"/>
            </w:tcBorders>
            <w:shd w:val="clear" w:color="auto" w:fill="auto"/>
            <w:noWrap/>
            <w:vAlign w:val="bottom"/>
            <w:hideMark/>
          </w:tcPr>
          <w:p w:rsidR="007D72FE" w:rsidRPr="007D72FE" w:rsidRDefault="007D72FE" w:rsidP="00BE0565">
            <w:pPr>
              <w:spacing w:after="0" w:line="240" w:lineRule="auto"/>
              <w:rPr>
                <w:rFonts w:ascii="Calibri Light" w:eastAsia="Times New Roman" w:hAnsi="Calibri Light" w:cs="Times New Roman"/>
                <w:color w:val="000000"/>
                <w:lang w:eastAsia="en-GB"/>
              </w:rPr>
            </w:pPr>
            <w:r w:rsidRPr="007D72FE">
              <w:rPr>
                <w:rFonts w:ascii="Calibri Light" w:eastAsia="Times New Roman" w:hAnsi="Calibri Light" w:cs="Times New Roman"/>
                <w:color w:val="000000"/>
                <w:lang w:eastAsia="en-GB"/>
              </w:rPr>
              <w:t>Sub-activity 8.4 Evaluate outcomes of the organisational development training of small organisations</w:t>
            </w:r>
          </w:p>
        </w:tc>
      </w:tr>
    </w:tbl>
    <w:p w:rsidR="004368C2" w:rsidRDefault="004368C2"/>
    <w:p w:rsidR="004368C2" w:rsidRDefault="004368C2">
      <w:r>
        <w:br w:type="page"/>
      </w:r>
    </w:p>
    <w:p w:rsidR="00F7100C" w:rsidRDefault="00F7100C">
      <w:pPr>
        <w:rPr>
          <w:rFonts w:ascii="Tahoma" w:hAnsi="Tahoma" w:cs="Tahoma"/>
          <w:b/>
        </w:rPr>
        <w:sectPr w:rsidR="00F7100C" w:rsidSect="007D72FE">
          <w:pgSz w:w="16838" w:h="11906" w:orient="landscape"/>
          <w:pgMar w:top="1440" w:right="1440" w:bottom="1440" w:left="1440" w:header="708" w:footer="708" w:gutter="0"/>
          <w:cols w:space="708"/>
          <w:docGrid w:linePitch="360"/>
        </w:sectPr>
      </w:pPr>
    </w:p>
    <w:p w:rsidR="0080576F" w:rsidRDefault="004368C2">
      <w:pPr>
        <w:rPr>
          <w:rFonts w:ascii="Tahoma" w:hAnsi="Tahoma" w:cs="Tahoma"/>
          <w:b/>
        </w:rPr>
      </w:pPr>
      <w:r w:rsidRPr="004368C2">
        <w:rPr>
          <w:rFonts w:ascii="Tahoma" w:hAnsi="Tahoma" w:cs="Tahoma"/>
          <w:b/>
        </w:rPr>
        <w:lastRenderedPageBreak/>
        <w:t xml:space="preserve">ANNEX C: </w:t>
      </w:r>
      <w:r w:rsidR="005212DF">
        <w:rPr>
          <w:rFonts w:ascii="Tahoma" w:hAnsi="Tahoma" w:cs="Tahoma"/>
          <w:b/>
        </w:rPr>
        <w:t xml:space="preserve">GL COUNTRY OFFICES AND ALLIANCE </w:t>
      </w:r>
      <w:r w:rsidR="00246A27">
        <w:rPr>
          <w:rFonts w:ascii="Tahoma" w:hAnsi="Tahoma" w:cs="Tahoma"/>
          <w:b/>
        </w:rPr>
        <w:t xml:space="preserve">FOCAL NETWORKS </w:t>
      </w:r>
    </w:p>
    <w:tbl>
      <w:tblPr>
        <w:tblStyle w:val="TableGrid1"/>
        <w:tblW w:w="10036" w:type="dxa"/>
        <w:tblInd w:w="-572" w:type="dxa"/>
        <w:tblLayout w:type="fixed"/>
        <w:tblLook w:val="04A0" w:firstRow="1" w:lastRow="0" w:firstColumn="1" w:lastColumn="0" w:noHBand="0" w:noVBand="1"/>
      </w:tblPr>
      <w:tblGrid>
        <w:gridCol w:w="1985"/>
        <w:gridCol w:w="2239"/>
        <w:gridCol w:w="2268"/>
        <w:gridCol w:w="3544"/>
      </w:tblGrid>
      <w:tr w:rsidR="00F7100C" w:rsidRPr="00F7100C" w:rsidTr="00246A27">
        <w:tc>
          <w:tcPr>
            <w:tcW w:w="1985" w:type="dxa"/>
            <w:shd w:val="clear" w:color="auto" w:fill="D9D9D9" w:themeFill="background1" w:themeFillShade="D9"/>
          </w:tcPr>
          <w:p w:rsidR="00F7100C" w:rsidRPr="00F7100C" w:rsidRDefault="00F7100C" w:rsidP="00F7100C">
            <w:pPr>
              <w:jc w:val="both"/>
              <w:rPr>
                <w:rFonts w:cs="Tahoma"/>
                <w:sz w:val="22"/>
                <w:szCs w:val="22"/>
              </w:rPr>
            </w:pPr>
            <w:r w:rsidRPr="00F7100C">
              <w:rPr>
                <w:rFonts w:cs="Tahoma"/>
                <w:b/>
                <w:sz w:val="22"/>
                <w:szCs w:val="22"/>
              </w:rPr>
              <w:t>COUNTRY</w:t>
            </w:r>
          </w:p>
        </w:tc>
        <w:tc>
          <w:tcPr>
            <w:tcW w:w="2239" w:type="dxa"/>
            <w:shd w:val="clear" w:color="auto" w:fill="D9D9D9" w:themeFill="background1" w:themeFillShade="D9"/>
          </w:tcPr>
          <w:p w:rsidR="00F7100C" w:rsidRPr="00F7100C" w:rsidRDefault="00F7100C" w:rsidP="00F7100C">
            <w:pPr>
              <w:jc w:val="both"/>
              <w:rPr>
                <w:rFonts w:cs="Tahoma"/>
                <w:sz w:val="22"/>
                <w:szCs w:val="22"/>
              </w:rPr>
            </w:pPr>
            <w:r w:rsidRPr="00F7100C">
              <w:rPr>
                <w:rFonts w:cs="Tahoma"/>
                <w:b/>
                <w:sz w:val="22"/>
                <w:szCs w:val="22"/>
              </w:rPr>
              <w:t>Alliance</w:t>
            </w:r>
            <w:r w:rsidR="005212DF">
              <w:rPr>
                <w:rFonts w:cs="Tahoma"/>
                <w:b/>
                <w:sz w:val="22"/>
                <w:szCs w:val="22"/>
              </w:rPr>
              <w:t xml:space="preserve"> Partner </w:t>
            </w:r>
          </w:p>
        </w:tc>
        <w:tc>
          <w:tcPr>
            <w:tcW w:w="2268" w:type="dxa"/>
            <w:shd w:val="clear" w:color="auto" w:fill="D9D9D9" w:themeFill="background1" w:themeFillShade="D9"/>
          </w:tcPr>
          <w:p w:rsidR="00F7100C" w:rsidRPr="00F7100C" w:rsidRDefault="00F7100C" w:rsidP="00F7100C">
            <w:pPr>
              <w:jc w:val="both"/>
              <w:rPr>
                <w:rFonts w:cs="Tahoma"/>
                <w:b/>
              </w:rPr>
            </w:pPr>
          </w:p>
        </w:tc>
        <w:tc>
          <w:tcPr>
            <w:tcW w:w="3544" w:type="dxa"/>
            <w:shd w:val="clear" w:color="auto" w:fill="D9D9D9" w:themeFill="background1" w:themeFillShade="D9"/>
          </w:tcPr>
          <w:p w:rsidR="00F7100C" w:rsidRPr="00F7100C" w:rsidRDefault="00F7100C" w:rsidP="00F7100C">
            <w:pPr>
              <w:jc w:val="both"/>
              <w:rPr>
                <w:rFonts w:cs="Tahoma"/>
                <w:b/>
              </w:rPr>
            </w:pPr>
          </w:p>
        </w:tc>
      </w:tr>
      <w:tr w:rsidR="00F7100C" w:rsidRPr="00F7100C" w:rsidTr="00246A27">
        <w:tc>
          <w:tcPr>
            <w:tcW w:w="4224" w:type="dxa"/>
            <w:gridSpan w:val="2"/>
            <w:shd w:val="clear" w:color="auto" w:fill="F2DBDB" w:themeFill="accent2" w:themeFillTint="33"/>
          </w:tcPr>
          <w:p w:rsidR="00F7100C" w:rsidRPr="005212DF" w:rsidRDefault="00F7100C" w:rsidP="00CC506B">
            <w:pPr>
              <w:jc w:val="both"/>
              <w:rPr>
                <w:rFonts w:cs="Tahoma"/>
                <w:b/>
              </w:rPr>
            </w:pPr>
            <w:r w:rsidRPr="005212DF">
              <w:rPr>
                <w:rFonts w:cs="Tahoma"/>
                <w:b/>
              </w:rPr>
              <w:t xml:space="preserve">GL HEAD OFFICE </w:t>
            </w:r>
          </w:p>
        </w:tc>
        <w:tc>
          <w:tcPr>
            <w:tcW w:w="2268" w:type="dxa"/>
            <w:shd w:val="clear" w:color="auto" w:fill="F2DBDB" w:themeFill="accent2" w:themeFillTint="33"/>
          </w:tcPr>
          <w:p w:rsidR="00F7100C" w:rsidRPr="00500BB6" w:rsidRDefault="005212DF" w:rsidP="00CC506B">
            <w:pPr>
              <w:jc w:val="both"/>
              <w:rPr>
                <w:rFonts w:cs="Tahoma"/>
                <w:b/>
              </w:rPr>
            </w:pPr>
            <w:r w:rsidRPr="00500BB6">
              <w:rPr>
                <w:rFonts w:cs="Tahoma"/>
                <w:b/>
              </w:rPr>
              <w:t xml:space="preserve">General </w:t>
            </w:r>
          </w:p>
        </w:tc>
        <w:tc>
          <w:tcPr>
            <w:tcW w:w="3544" w:type="dxa"/>
            <w:shd w:val="clear" w:color="auto" w:fill="F2DBDB" w:themeFill="accent2" w:themeFillTint="33"/>
          </w:tcPr>
          <w:p w:rsidR="00F7100C" w:rsidRPr="00500BB6" w:rsidRDefault="005212DF" w:rsidP="00CC506B">
            <w:pPr>
              <w:jc w:val="both"/>
              <w:rPr>
                <w:rFonts w:cs="Tahoma"/>
                <w:b/>
              </w:rPr>
            </w:pPr>
            <w:r w:rsidRPr="00500BB6">
              <w:rPr>
                <w:rFonts w:cs="Tahoma"/>
                <w:b/>
              </w:rPr>
              <w:t xml:space="preserve">Specific </w:t>
            </w: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South Africa</w:t>
            </w:r>
          </w:p>
        </w:tc>
        <w:tc>
          <w:tcPr>
            <w:tcW w:w="2239" w:type="dxa"/>
          </w:tcPr>
          <w:p w:rsidR="005212DF" w:rsidRPr="00F7100C" w:rsidRDefault="005212DF" w:rsidP="00CC506B">
            <w:pPr>
              <w:jc w:val="both"/>
              <w:rPr>
                <w:rFonts w:cs="Tahoma"/>
                <w:sz w:val="22"/>
                <w:szCs w:val="22"/>
              </w:rPr>
            </w:pPr>
            <w:r w:rsidRPr="00F7100C">
              <w:rPr>
                <w:rFonts w:cs="Tahoma"/>
                <w:sz w:val="22"/>
                <w:szCs w:val="22"/>
              </w:rPr>
              <w:t>SAWID</w:t>
            </w:r>
          </w:p>
        </w:tc>
        <w:tc>
          <w:tcPr>
            <w:tcW w:w="2268" w:type="dxa"/>
            <w:vMerge w:val="restart"/>
          </w:tcPr>
          <w:p w:rsidR="005212DF" w:rsidRPr="00F7100C" w:rsidRDefault="005212DF" w:rsidP="00CC506B">
            <w:pPr>
              <w:jc w:val="both"/>
              <w:rPr>
                <w:rFonts w:cs="Tahoma"/>
              </w:rPr>
            </w:pPr>
            <w:r>
              <w:rPr>
                <w:rFonts w:cs="Tahoma"/>
              </w:rPr>
              <w:t xml:space="preserve">All financial transactions for logistic costs are paid directly through GL offices. </w:t>
            </w:r>
            <w:r w:rsidR="00D92CF2">
              <w:rPr>
                <w:rFonts w:cs="Tahoma"/>
              </w:rPr>
              <w:t xml:space="preserve">Other costs are managed through the normal contracting, payment on delivery process. </w:t>
            </w:r>
          </w:p>
        </w:tc>
        <w:tc>
          <w:tcPr>
            <w:tcW w:w="3544" w:type="dxa"/>
          </w:tcPr>
          <w:p w:rsidR="005212DF" w:rsidRPr="00F7100C" w:rsidRDefault="00D92CF2" w:rsidP="00CC506B">
            <w:pPr>
              <w:jc w:val="both"/>
              <w:rPr>
                <w:rFonts w:cs="Tahoma"/>
              </w:rPr>
            </w:pPr>
            <w:r>
              <w:rPr>
                <w:rFonts w:cs="Tahoma"/>
              </w:rPr>
              <w:t xml:space="preserve">Longstanding partnership, worked in all provinces together </w:t>
            </w:r>
          </w:p>
        </w:tc>
      </w:tr>
      <w:tr w:rsidR="005212DF" w:rsidRPr="00F7100C" w:rsidTr="00246A27">
        <w:tc>
          <w:tcPr>
            <w:tcW w:w="4224" w:type="dxa"/>
            <w:gridSpan w:val="2"/>
            <w:shd w:val="clear" w:color="auto" w:fill="E5B8B7" w:themeFill="accent2" w:themeFillTint="66"/>
          </w:tcPr>
          <w:p w:rsidR="005212DF" w:rsidRPr="005212DF" w:rsidRDefault="005212DF" w:rsidP="00F7100C">
            <w:pPr>
              <w:jc w:val="both"/>
              <w:rPr>
                <w:rFonts w:cs="Tahoma"/>
                <w:b/>
              </w:rPr>
            </w:pPr>
            <w:r w:rsidRPr="005212DF">
              <w:rPr>
                <w:rFonts w:cs="Tahoma"/>
                <w:b/>
              </w:rPr>
              <w:t xml:space="preserve">GL HAS OFFICES </w:t>
            </w:r>
          </w:p>
        </w:tc>
        <w:tc>
          <w:tcPr>
            <w:tcW w:w="2268" w:type="dxa"/>
            <w:vMerge/>
            <w:shd w:val="clear" w:color="auto" w:fill="E5B8B7" w:themeFill="accent2" w:themeFillTint="66"/>
          </w:tcPr>
          <w:p w:rsidR="005212DF" w:rsidRPr="00F7100C" w:rsidRDefault="005212DF" w:rsidP="00F7100C">
            <w:pPr>
              <w:jc w:val="both"/>
              <w:rPr>
                <w:rFonts w:cs="Tahoma"/>
              </w:rPr>
            </w:pPr>
          </w:p>
        </w:tc>
        <w:tc>
          <w:tcPr>
            <w:tcW w:w="3544" w:type="dxa"/>
            <w:shd w:val="clear" w:color="auto" w:fill="E5B8B7" w:themeFill="accent2" w:themeFillTint="66"/>
          </w:tcPr>
          <w:p w:rsidR="005212DF" w:rsidRPr="00F7100C" w:rsidRDefault="005212DF" w:rsidP="00F7100C">
            <w:pPr>
              <w:jc w:val="both"/>
              <w:rPr>
                <w:rFonts w:cs="Tahoma"/>
              </w:rPr>
            </w:pPr>
          </w:p>
        </w:tc>
      </w:tr>
      <w:tr w:rsidR="005212DF" w:rsidRPr="00F7100C" w:rsidTr="00246A27">
        <w:tc>
          <w:tcPr>
            <w:tcW w:w="1985" w:type="dxa"/>
            <w:shd w:val="clear" w:color="auto" w:fill="D9D9D9" w:themeFill="background1" w:themeFillShade="D9"/>
          </w:tcPr>
          <w:p w:rsidR="005212DF" w:rsidRPr="00F7100C" w:rsidRDefault="005212DF" w:rsidP="00F7100C">
            <w:pPr>
              <w:jc w:val="both"/>
              <w:rPr>
                <w:rFonts w:cs="Tahoma"/>
                <w:b/>
                <w:sz w:val="22"/>
                <w:szCs w:val="22"/>
              </w:rPr>
            </w:pPr>
            <w:r w:rsidRPr="00F7100C">
              <w:rPr>
                <w:rFonts w:cs="Tahoma"/>
                <w:b/>
                <w:sz w:val="22"/>
                <w:szCs w:val="22"/>
              </w:rPr>
              <w:t>Botswana</w:t>
            </w:r>
          </w:p>
        </w:tc>
        <w:tc>
          <w:tcPr>
            <w:tcW w:w="2239" w:type="dxa"/>
          </w:tcPr>
          <w:p w:rsidR="005212DF" w:rsidRPr="00F7100C" w:rsidRDefault="005212DF" w:rsidP="00F7100C">
            <w:pPr>
              <w:jc w:val="both"/>
              <w:rPr>
                <w:rFonts w:cs="Tahoma"/>
                <w:sz w:val="22"/>
                <w:szCs w:val="22"/>
              </w:rPr>
            </w:pPr>
            <w:proofErr w:type="spellStart"/>
            <w:r w:rsidRPr="00F7100C">
              <w:rPr>
                <w:rFonts w:cs="Tahoma"/>
                <w:sz w:val="22"/>
                <w:szCs w:val="22"/>
              </w:rPr>
              <w:t>BOCONGO</w:t>
            </w:r>
            <w:proofErr w:type="spellEnd"/>
          </w:p>
        </w:tc>
        <w:tc>
          <w:tcPr>
            <w:tcW w:w="2268" w:type="dxa"/>
            <w:vMerge/>
          </w:tcPr>
          <w:p w:rsidR="005212DF" w:rsidRPr="00F7100C" w:rsidRDefault="005212DF" w:rsidP="00F7100C">
            <w:pPr>
              <w:jc w:val="both"/>
              <w:rPr>
                <w:rFonts w:cs="Tahoma"/>
              </w:rPr>
            </w:pPr>
          </w:p>
        </w:tc>
        <w:tc>
          <w:tcPr>
            <w:tcW w:w="3544" w:type="dxa"/>
          </w:tcPr>
          <w:p w:rsidR="005212DF" w:rsidRPr="00F7100C" w:rsidRDefault="00D92CF2" w:rsidP="00F7100C">
            <w:pPr>
              <w:jc w:val="both"/>
              <w:rPr>
                <w:rFonts w:cs="Tahoma"/>
              </w:rPr>
            </w:pPr>
            <w:r>
              <w:rPr>
                <w:rFonts w:cs="Tahoma"/>
              </w:rPr>
              <w:t xml:space="preserve">Long standing partnership, campaigned for signing of Protocol. </w:t>
            </w: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Lesotho</w:t>
            </w:r>
          </w:p>
        </w:tc>
        <w:tc>
          <w:tcPr>
            <w:tcW w:w="2239" w:type="dxa"/>
          </w:tcPr>
          <w:p w:rsidR="00246A27" w:rsidRPr="00F7100C" w:rsidRDefault="00246A27" w:rsidP="00F7100C">
            <w:pPr>
              <w:jc w:val="both"/>
              <w:rPr>
                <w:rFonts w:cs="Tahoma"/>
                <w:sz w:val="22"/>
                <w:szCs w:val="22"/>
              </w:rPr>
            </w:pPr>
            <w:r w:rsidRPr="00F7100C">
              <w:rPr>
                <w:rFonts w:cs="Tahoma"/>
                <w:sz w:val="22"/>
                <w:szCs w:val="22"/>
              </w:rPr>
              <w:t>WLSA Lesotho</w:t>
            </w:r>
          </w:p>
        </w:tc>
        <w:tc>
          <w:tcPr>
            <w:tcW w:w="2268" w:type="dxa"/>
            <w:vMerge/>
          </w:tcPr>
          <w:p w:rsidR="00246A27" w:rsidRPr="00F7100C" w:rsidRDefault="00246A27" w:rsidP="00F7100C">
            <w:pPr>
              <w:jc w:val="both"/>
              <w:rPr>
                <w:rFonts w:cs="Tahoma"/>
              </w:rPr>
            </w:pPr>
          </w:p>
        </w:tc>
        <w:tc>
          <w:tcPr>
            <w:tcW w:w="3544" w:type="dxa"/>
            <w:vMerge w:val="restart"/>
          </w:tcPr>
          <w:p w:rsidR="00246A27" w:rsidRPr="00F7100C" w:rsidRDefault="00246A27" w:rsidP="00F7100C">
            <w:pPr>
              <w:jc w:val="both"/>
              <w:rPr>
                <w:rFonts w:cs="Tahoma"/>
              </w:rPr>
            </w:pPr>
            <w:r>
              <w:rPr>
                <w:rFonts w:cs="Tahoma"/>
              </w:rPr>
              <w:t xml:space="preserve">Long standing collaboration including local </w:t>
            </w:r>
            <w:proofErr w:type="spellStart"/>
            <w:r>
              <w:rPr>
                <w:rFonts w:cs="Tahoma"/>
              </w:rPr>
              <w:t>gvt</w:t>
            </w:r>
            <w:proofErr w:type="spellEnd"/>
            <w:r>
              <w:rPr>
                <w:rFonts w:cs="Tahoma"/>
              </w:rPr>
              <w:t xml:space="preserve"> work </w:t>
            </w: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Madagascar</w:t>
            </w:r>
          </w:p>
        </w:tc>
        <w:tc>
          <w:tcPr>
            <w:tcW w:w="2239" w:type="dxa"/>
          </w:tcPr>
          <w:p w:rsidR="00246A27" w:rsidRPr="00F7100C" w:rsidRDefault="00246A27" w:rsidP="00F7100C">
            <w:pPr>
              <w:jc w:val="both"/>
              <w:rPr>
                <w:rFonts w:cs="Tahoma"/>
                <w:sz w:val="22"/>
                <w:szCs w:val="22"/>
              </w:rPr>
            </w:pPr>
            <w:proofErr w:type="spellStart"/>
            <w:r w:rsidRPr="00F7100C">
              <w:rPr>
                <w:rFonts w:cs="Tahoma"/>
                <w:sz w:val="22"/>
                <w:szCs w:val="22"/>
              </w:rPr>
              <w:t>FPPE</w:t>
            </w:r>
            <w:proofErr w:type="spellEnd"/>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Mauritius</w:t>
            </w:r>
          </w:p>
        </w:tc>
        <w:tc>
          <w:tcPr>
            <w:tcW w:w="2239" w:type="dxa"/>
          </w:tcPr>
          <w:p w:rsidR="00246A27" w:rsidRPr="00F7100C" w:rsidRDefault="00246A27" w:rsidP="00F7100C">
            <w:pPr>
              <w:jc w:val="both"/>
              <w:rPr>
                <w:rFonts w:cs="Tahoma"/>
                <w:sz w:val="22"/>
                <w:szCs w:val="22"/>
              </w:rPr>
            </w:pPr>
            <w:proofErr w:type="spellStart"/>
            <w:r>
              <w:rPr>
                <w:rFonts w:cs="Tahoma"/>
                <w:sz w:val="22"/>
                <w:szCs w:val="22"/>
              </w:rPr>
              <w:t>MWO</w:t>
            </w:r>
            <w:proofErr w:type="spellEnd"/>
            <w:r>
              <w:rPr>
                <w:rFonts w:cs="Tahoma"/>
                <w:sz w:val="22"/>
                <w:szCs w:val="22"/>
              </w:rPr>
              <w:t xml:space="preserve"> </w:t>
            </w:r>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Mozambique</w:t>
            </w:r>
          </w:p>
        </w:tc>
        <w:tc>
          <w:tcPr>
            <w:tcW w:w="2239" w:type="dxa"/>
          </w:tcPr>
          <w:p w:rsidR="00246A27" w:rsidRPr="00F7100C" w:rsidRDefault="00246A27" w:rsidP="00F7100C">
            <w:pPr>
              <w:jc w:val="both"/>
              <w:rPr>
                <w:rFonts w:cs="Tahoma"/>
                <w:sz w:val="22"/>
                <w:szCs w:val="22"/>
              </w:rPr>
            </w:pPr>
            <w:r w:rsidRPr="00F7100C">
              <w:rPr>
                <w:rFonts w:cs="Tahoma"/>
                <w:sz w:val="22"/>
                <w:szCs w:val="22"/>
              </w:rPr>
              <w:t xml:space="preserve">Forum </w:t>
            </w:r>
            <w:proofErr w:type="spellStart"/>
            <w:r w:rsidRPr="00F7100C">
              <w:rPr>
                <w:rFonts w:cs="Tahoma"/>
                <w:sz w:val="22"/>
                <w:szCs w:val="22"/>
              </w:rPr>
              <w:t>Mulher</w:t>
            </w:r>
            <w:proofErr w:type="spellEnd"/>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Swaziland</w:t>
            </w:r>
          </w:p>
        </w:tc>
        <w:tc>
          <w:tcPr>
            <w:tcW w:w="2239" w:type="dxa"/>
          </w:tcPr>
          <w:p w:rsidR="005212DF" w:rsidRPr="00F7100C" w:rsidRDefault="005212DF" w:rsidP="00CC506B">
            <w:pPr>
              <w:jc w:val="both"/>
              <w:rPr>
                <w:rFonts w:cs="Tahoma"/>
                <w:sz w:val="22"/>
                <w:szCs w:val="22"/>
              </w:rPr>
            </w:pPr>
            <w:proofErr w:type="spellStart"/>
            <w:r w:rsidRPr="00F7100C">
              <w:rPr>
                <w:rFonts w:cs="Tahoma"/>
                <w:sz w:val="22"/>
                <w:szCs w:val="22"/>
              </w:rPr>
              <w:t>CANGO</w:t>
            </w:r>
            <w:proofErr w:type="spellEnd"/>
          </w:p>
        </w:tc>
        <w:tc>
          <w:tcPr>
            <w:tcW w:w="2268" w:type="dxa"/>
            <w:vMerge/>
          </w:tcPr>
          <w:p w:rsidR="005212DF" w:rsidRPr="00F7100C" w:rsidRDefault="005212DF" w:rsidP="00F7100C">
            <w:pPr>
              <w:jc w:val="both"/>
              <w:rPr>
                <w:rFonts w:cs="Tahoma"/>
              </w:rPr>
            </w:pPr>
          </w:p>
        </w:tc>
        <w:tc>
          <w:tcPr>
            <w:tcW w:w="3544" w:type="dxa"/>
          </w:tcPr>
          <w:p w:rsidR="005212DF" w:rsidRPr="00F7100C" w:rsidRDefault="00246A27" w:rsidP="00F7100C">
            <w:pPr>
              <w:jc w:val="both"/>
              <w:rPr>
                <w:rFonts w:cs="Tahoma"/>
              </w:rPr>
            </w:pPr>
            <w:r>
              <w:rPr>
                <w:rFonts w:cs="Tahoma"/>
              </w:rPr>
              <w:t xml:space="preserve">General NGO Network – women’s sector presently weak </w:t>
            </w: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Zimbabwe</w:t>
            </w:r>
          </w:p>
        </w:tc>
        <w:tc>
          <w:tcPr>
            <w:tcW w:w="2239" w:type="dxa"/>
          </w:tcPr>
          <w:p w:rsidR="005212DF" w:rsidRPr="00F7100C" w:rsidRDefault="005212DF" w:rsidP="00CC506B">
            <w:pPr>
              <w:jc w:val="both"/>
              <w:rPr>
                <w:rFonts w:cs="Tahoma"/>
                <w:sz w:val="22"/>
                <w:szCs w:val="22"/>
              </w:rPr>
            </w:pPr>
            <w:r w:rsidRPr="00F7100C">
              <w:rPr>
                <w:rFonts w:cs="Tahoma"/>
                <w:sz w:val="22"/>
                <w:szCs w:val="22"/>
              </w:rPr>
              <w:t>Women’s Coalition of Zimbabwe</w:t>
            </w:r>
          </w:p>
        </w:tc>
        <w:tc>
          <w:tcPr>
            <w:tcW w:w="2268" w:type="dxa"/>
            <w:vMerge/>
          </w:tcPr>
          <w:p w:rsidR="005212DF" w:rsidRPr="00F7100C" w:rsidRDefault="005212DF" w:rsidP="00CC506B">
            <w:pPr>
              <w:jc w:val="both"/>
              <w:rPr>
                <w:rFonts w:cs="Tahoma"/>
              </w:rPr>
            </w:pPr>
          </w:p>
        </w:tc>
        <w:tc>
          <w:tcPr>
            <w:tcW w:w="3544" w:type="dxa"/>
          </w:tcPr>
          <w:p w:rsidR="005212DF" w:rsidRPr="00F7100C" w:rsidRDefault="00246A27" w:rsidP="00CC506B">
            <w:pPr>
              <w:jc w:val="both"/>
              <w:rPr>
                <w:rFonts w:cs="Tahoma"/>
              </w:rPr>
            </w:pPr>
            <w:r>
              <w:rPr>
                <w:rFonts w:cs="Tahoma"/>
              </w:rPr>
              <w:t xml:space="preserve">Strong coalition, produce own country Barometer with GL support </w:t>
            </w:r>
          </w:p>
        </w:tc>
      </w:tr>
      <w:tr w:rsidR="005212DF" w:rsidRPr="00F7100C" w:rsidTr="00246A27">
        <w:tc>
          <w:tcPr>
            <w:tcW w:w="4224" w:type="dxa"/>
            <w:gridSpan w:val="2"/>
            <w:shd w:val="clear" w:color="auto" w:fill="CCC0D9" w:themeFill="accent4" w:themeFillTint="66"/>
          </w:tcPr>
          <w:p w:rsidR="005212DF" w:rsidRPr="005212DF" w:rsidRDefault="005212DF" w:rsidP="00F7100C">
            <w:pPr>
              <w:jc w:val="both"/>
              <w:rPr>
                <w:rFonts w:cs="Tahoma"/>
                <w:b/>
                <w:sz w:val="22"/>
                <w:szCs w:val="22"/>
              </w:rPr>
            </w:pPr>
            <w:r w:rsidRPr="005212DF">
              <w:rPr>
                <w:rFonts w:cs="Tahoma"/>
                <w:b/>
                <w:sz w:val="22"/>
                <w:szCs w:val="22"/>
              </w:rPr>
              <w:t xml:space="preserve">GL HAS PROJECT SITES </w:t>
            </w:r>
          </w:p>
        </w:tc>
        <w:tc>
          <w:tcPr>
            <w:tcW w:w="2268" w:type="dxa"/>
            <w:shd w:val="clear" w:color="auto" w:fill="CCC0D9" w:themeFill="accent4" w:themeFillTint="66"/>
          </w:tcPr>
          <w:p w:rsidR="005212DF" w:rsidRPr="00F7100C" w:rsidRDefault="005212DF" w:rsidP="00F7100C">
            <w:pPr>
              <w:jc w:val="both"/>
              <w:rPr>
                <w:rFonts w:cs="Tahoma"/>
              </w:rPr>
            </w:pPr>
          </w:p>
        </w:tc>
        <w:tc>
          <w:tcPr>
            <w:tcW w:w="3544" w:type="dxa"/>
            <w:shd w:val="clear" w:color="auto" w:fill="CCC0D9" w:themeFill="accent4" w:themeFillTint="66"/>
          </w:tcPr>
          <w:p w:rsidR="005212DF" w:rsidRPr="00F7100C" w:rsidRDefault="005212DF" w:rsidP="00F7100C">
            <w:pPr>
              <w:jc w:val="both"/>
              <w:rPr>
                <w:rFonts w:cs="Tahoma"/>
              </w:rPr>
            </w:pPr>
          </w:p>
        </w:tc>
      </w:tr>
      <w:tr w:rsidR="00D92CF2" w:rsidRPr="00F7100C" w:rsidTr="00246A27">
        <w:tc>
          <w:tcPr>
            <w:tcW w:w="1985" w:type="dxa"/>
            <w:shd w:val="clear" w:color="auto" w:fill="D9D9D9" w:themeFill="background1" w:themeFillShade="D9"/>
          </w:tcPr>
          <w:p w:rsidR="00D92CF2" w:rsidRPr="00F7100C" w:rsidRDefault="00D92CF2" w:rsidP="00F7100C">
            <w:pPr>
              <w:jc w:val="both"/>
              <w:rPr>
                <w:rFonts w:cs="Tahoma"/>
                <w:b/>
                <w:sz w:val="22"/>
                <w:szCs w:val="22"/>
              </w:rPr>
            </w:pPr>
            <w:r w:rsidRPr="00F7100C">
              <w:rPr>
                <w:rFonts w:cs="Tahoma"/>
                <w:b/>
                <w:sz w:val="22"/>
                <w:szCs w:val="22"/>
              </w:rPr>
              <w:t>Namibia</w:t>
            </w:r>
          </w:p>
        </w:tc>
        <w:tc>
          <w:tcPr>
            <w:tcW w:w="2239" w:type="dxa"/>
          </w:tcPr>
          <w:p w:rsidR="00D92CF2" w:rsidRPr="00F7100C" w:rsidRDefault="00D92CF2" w:rsidP="00F7100C">
            <w:pPr>
              <w:jc w:val="both"/>
              <w:rPr>
                <w:rFonts w:cs="Tahoma"/>
                <w:sz w:val="22"/>
                <w:szCs w:val="22"/>
              </w:rPr>
            </w:pPr>
            <w:r w:rsidRPr="00F7100C">
              <w:rPr>
                <w:rFonts w:cs="Tahoma"/>
                <w:sz w:val="22"/>
                <w:szCs w:val="22"/>
              </w:rPr>
              <w:t>NANGOF</w:t>
            </w:r>
          </w:p>
        </w:tc>
        <w:tc>
          <w:tcPr>
            <w:tcW w:w="2268" w:type="dxa"/>
            <w:vMerge w:val="restart"/>
          </w:tcPr>
          <w:p w:rsidR="00D92CF2" w:rsidRPr="00F7100C" w:rsidRDefault="00D92CF2" w:rsidP="00F7100C">
            <w:pPr>
              <w:jc w:val="both"/>
              <w:rPr>
                <w:rFonts w:cs="Tahoma"/>
              </w:rPr>
            </w:pPr>
            <w:r>
              <w:rPr>
                <w:rFonts w:cs="Tahoma"/>
              </w:rPr>
              <w:t xml:space="preserve">GL sub-contracts partners on specific deliverables. Where possible logistic costs </w:t>
            </w:r>
            <w:proofErr w:type="spellStart"/>
            <w:r>
              <w:rPr>
                <w:rFonts w:cs="Tahoma"/>
              </w:rPr>
              <w:t>eg</w:t>
            </w:r>
            <w:proofErr w:type="spellEnd"/>
            <w:r>
              <w:rPr>
                <w:rFonts w:cs="Tahoma"/>
              </w:rPr>
              <w:t xml:space="preserve"> venues are paid directly. If managed by partners, three quotes must be presented and recommendation approved by GL. All reporting accompanied by </w:t>
            </w:r>
            <w:proofErr w:type="spellStart"/>
            <w:r>
              <w:rPr>
                <w:rFonts w:cs="Tahoma"/>
              </w:rPr>
              <w:t>rcpts</w:t>
            </w:r>
            <w:proofErr w:type="spellEnd"/>
            <w:r>
              <w:rPr>
                <w:rFonts w:cs="Tahoma"/>
              </w:rPr>
              <w:t xml:space="preserve"> as per finance guide in contract. </w:t>
            </w:r>
          </w:p>
        </w:tc>
        <w:tc>
          <w:tcPr>
            <w:tcW w:w="3544" w:type="dxa"/>
          </w:tcPr>
          <w:p w:rsidR="00D92CF2" w:rsidRPr="00F7100C" w:rsidRDefault="00246A27" w:rsidP="00F7100C">
            <w:pPr>
              <w:jc w:val="both"/>
              <w:rPr>
                <w:rFonts w:cs="Tahoma"/>
              </w:rPr>
            </w:pPr>
            <w:r>
              <w:rPr>
                <w:rFonts w:cs="Tahoma"/>
              </w:rPr>
              <w:t>General NGO Network – women’s sector presently weak</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sz w:val="22"/>
                <w:szCs w:val="22"/>
              </w:rPr>
            </w:pPr>
            <w:r w:rsidRPr="00F7100C">
              <w:rPr>
                <w:rFonts w:cs="Tahoma"/>
                <w:b/>
                <w:sz w:val="22"/>
                <w:szCs w:val="22"/>
              </w:rPr>
              <w:t>Zambia</w:t>
            </w:r>
          </w:p>
        </w:tc>
        <w:tc>
          <w:tcPr>
            <w:tcW w:w="2239" w:type="dxa"/>
          </w:tcPr>
          <w:p w:rsidR="00246A27" w:rsidRPr="00F7100C" w:rsidRDefault="00246A27" w:rsidP="00CC506B">
            <w:pPr>
              <w:jc w:val="both"/>
              <w:rPr>
                <w:rFonts w:cs="Tahoma"/>
                <w:sz w:val="22"/>
                <w:szCs w:val="22"/>
              </w:rPr>
            </w:pPr>
            <w:proofErr w:type="spellStart"/>
            <w:r>
              <w:rPr>
                <w:rFonts w:cs="Tahoma"/>
                <w:sz w:val="22"/>
                <w:szCs w:val="22"/>
              </w:rPr>
              <w:t>NGOCC</w:t>
            </w:r>
            <w:proofErr w:type="spellEnd"/>
            <w:r>
              <w:rPr>
                <w:rFonts w:cs="Tahoma"/>
                <w:sz w:val="22"/>
                <w:szCs w:val="22"/>
              </w:rPr>
              <w:t xml:space="preserve"> through </w:t>
            </w:r>
            <w:r w:rsidRPr="00F7100C">
              <w:rPr>
                <w:rFonts w:cs="Tahoma"/>
                <w:sz w:val="22"/>
                <w:szCs w:val="22"/>
              </w:rPr>
              <w:t>WLSA Zambia</w:t>
            </w:r>
          </w:p>
        </w:tc>
        <w:tc>
          <w:tcPr>
            <w:tcW w:w="2268" w:type="dxa"/>
            <w:vMerge/>
          </w:tcPr>
          <w:p w:rsidR="00246A27" w:rsidRPr="00F7100C" w:rsidRDefault="00246A27" w:rsidP="00CC506B">
            <w:pPr>
              <w:jc w:val="both"/>
              <w:rPr>
                <w:rFonts w:cs="Tahoma"/>
              </w:rPr>
            </w:pPr>
          </w:p>
        </w:tc>
        <w:tc>
          <w:tcPr>
            <w:tcW w:w="3544" w:type="dxa"/>
          </w:tcPr>
          <w:p w:rsidR="00246A27" w:rsidRPr="00F7100C" w:rsidRDefault="00246A27" w:rsidP="00CC506B">
            <w:pPr>
              <w:jc w:val="both"/>
              <w:rPr>
                <w:rFonts w:cs="Tahoma"/>
              </w:rPr>
            </w:pPr>
            <w:r>
              <w:rPr>
                <w:rFonts w:cs="Tahoma"/>
              </w:rPr>
              <w:t xml:space="preserve">Long standing collaboration including local </w:t>
            </w:r>
            <w:proofErr w:type="spellStart"/>
            <w:r>
              <w:rPr>
                <w:rFonts w:cs="Tahoma"/>
              </w:rPr>
              <w:t>gvt</w:t>
            </w:r>
            <w:proofErr w:type="spellEnd"/>
            <w:r>
              <w:rPr>
                <w:rFonts w:cs="Tahoma"/>
              </w:rPr>
              <w:t xml:space="preserve"> work. GL Board Member chairs </w:t>
            </w:r>
            <w:proofErr w:type="spellStart"/>
            <w:r>
              <w:rPr>
                <w:rFonts w:cs="Tahoma"/>
              </w:rPr>
              <w:t>NGOCC</w:t>
            </w:r>
            <w:proofErr w:type="spellEnd"/>
          </w:p>
        </w:tc>
      </w:tr>
      <w:tr w:rsidR="00246A27" w:rsidRPr="00F7100C" w:rsidTr="00246A27">
        <w:tc>
          <w:tcPr>
            <w:tcW w:w="4224" w:type="dxa"/>
            <w:gridSpan w:val="2"/>
            <w:shd w:val="clear" w:color="auto" w:fill="B6DDE8" w:themeFill="accent5" w:themeFillTint="66"/>
          </w:tcPr>
          <w:p w:rsidR="00246A27" w:rsidRPr="00F7100C" w:rsidRDefault="00246A27" w:rsidP="00F7100C">
            <w:pPr>
              <w:jc w:val="both"/>
              <w:rPr>
                <w:rFonts w:cs="Tahoma"/>
                <w:b/>
                <w:sz w:val="22"/>
                <w:szCs w:val="22"/>
              </w:rPr>
            </w:pPr>
            <w:r w:rsidRPr="005212DF">
              <w:rPr>
                <w:rFonts w:cs="Tahoma"/>
                <w:b/>
                <w:sz w:val="22"/>
                <w:szCs w:val="22"/>
              </w:rPr>
              <w:t xml:space="preserve">GL HAS NO OFFICES </w:t>
            </w:r>
          </w:p>
        </w:tc>
        <w:tc>
          <w:tcPr>
            <w:tcW w:w="2268" w:type="dxa"/>
            <w:vMerge/>
            <w:shd w:val="clear" w:color="auto" w:fill="B6DDE8" w:themeFill="accent5" w:themeFillTint="66"/>
          </w:tcPr>
          <w:p w:rsidR="00246A27" w:rsidRPr="00F7100C" w:rsidRDefault="00246A27" w:rsidP="00F7100C">
            <w:pPr>
              <w:jc w:val="both"/>
              <w:rPr>
                <w:rFonts w:cs="Tahoma"/>
              </w:rPr>
            </w:pPr>
          </w:p>
        </w:tc>
        <w:tc>
          <w:tcPr>
            <w:tcW w:w="3544" w:type="dxa"/>
            <w:shd w:val="clear" w:color="auto" w:fill="B6DDE8" w:themeFill="accent5" w:themeFillTint="66"/>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rPr>
            </w:pPr>
            <w:r>
              <w:rPr>
                <w:rFonts w:cs="Tahoma"/>
                <w:b/>
              </w:rPr>
              <w:t xml:space="preserve">Angola </w:t>
            </w:r>
          </w:p>
        </w:tc>
        <w:tc>
          <w:tcPr>
            <w:tcW w:w="2239" w:type="dxa"/>
          </w:tcPr>
          <w:p w:rsidR="00246A27" w:rsidRPr="00F7100C" w:rsidRDefault="00246A27" w:rsidP="00F7100C">
            <w:pPr>
              <w:jc w:val="both"/>
              <w:rPr>
                <w:rFonts w:cs="Tahoma"/>
              </w:rPr>
            </w:pPr>
            <w:r>
              <w:rPr>
                <w:rFonts w:cs="Tahoma"/>
              </w:rPr>
              <w:t xml:space="preserve">PMU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Recently joined Alliance, very enthusiastic, M and E improved dramatically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DRC </w:t>
            </w:r>
          </w:p>
        </w:tc>
        <w:tc>
          <w:tcPr>
            <w:tcW w:w="2239" w:type="dxa"/>
          </w:tcPr>
          <w:p w:rsidR="00246A27" w:rsidRPr="00F7100C" w:rsidRDefault="00246A27" w:rsidP="00F7100C">
            <w:pPr>
              <w:jc w:val="both"/>
              <w:rPr>
                <w:rFonts w:cs="Tahoma"/>
              </w:rPr>
            </w:pPr>
            <w:proofErr w:type="spellStart"/>
            <w:r>
              <w:rPr>
                <w:rFonts w:cs="Tahoma"/>
              </w:rPr>
              <w:t>UCOFEM</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Long standing partnership – media network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Malawi </w:t>
            </w:r>
          </w:p>
        </w:tc>
        <w:tc>
          <w:tcPr>
            <w:tcW w:w="2239" w:type="dxa"/>
          </w:tcPr>
          <w:p w:rsidR="00246A27" w:rsidRPr="00F7100C" w:rsidRDefault="00246A27" w:rsidP="00F7100C">
            <w:pPr>
              <w:jc w:val="both"/>
              <w:rPr>
                <w:rFonts w:cs="Tahoma"/>
              </w:rPr>
            </w:pPr>
            <w:proofErr w:type="spellStart"/>
            <w:r>
              <w:rPr>
                <w:rFonts w:cs="Tahoma"/>
              </w:rPr>
              <w:t>NGOGCN</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Long standing partnership, chair of the network is chair of the Alliance; GL Board Member.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Tanzania </w:t>
            </w:r>
          </w:p>
        </w:tc>
        <w:tc>
          <w:tcPr>
            <w:tcW w:w="2239" w:type="dxa"/>
          </w:tcPr>
          <w:p w:rsidR="00246A27" w:rsidRPr="00F7100C" w:rsidRDefault="00246A27" w:rsidP="00F7100C">
            <w:pPr>
              <w:jc w:val="both"/>
              <w:rPr>
                <w:rFonts w:cs="Tahoma"/>
              </w:rPr>
            </w:pPr>
            <w:proofErr w:type="spellStart"/>
            <w:r>
              <w:rPr>
                <w:rFonts w:cs="Tahoma"/>
              </w:rPr>
              <w:t>TGNP</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Long standing partnership</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Seychelles </w:t>
            </w:r>
          </w:p>
        </w:tc>
        <w:tc>
          <w:tcPr>
            <w:tcW w:w="2239" w:type="dxa"/>
          </w:tcPr>
          <w:p w:rsidR="00246A27" w:rsidRPr="00F7100C" w:rsidRDefault="00246A27" w:rsidP="00F7100C">
            <w:pPr>
              <w:jc w:val="both"/>
              <w:rPr>
                <w:rFonts w:cs="Tahoma"/>
              </w:rPr>
            </w:pPr>
            <w:r>
              <w:rPr>
                <w:rFonts w:cs="Tahoma"/>
              </w:rPr>
              <w:t xml:space="preserve">GEM Plus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Long standing partnership – media network</w:t>
            </w:r>
          </w:p>
        </w:tc>
      </w:tr>
    </w:tbl>
    <w:p w:rsidR="004368C2" w:rsidRDefault="004368C2">
      <w:pPr>
        <w:rPr>
          <w:rFonts w:ascii="Tahoma" w:hAnsi="Tahoma" w:cs="Tahoma"/>
          <w:b/>
        </w:rPr>
      </w:pPr>
    </w:p>
    <w:p w:rsidR="00500BB6" w:rsidRDefault="00500BB6">
      <w:pPr>
        <w:rPr>
          <w:rFonts w:ascii="Tahoma" w:hAnsi="Tahoma" w:cs="Tahoma"/>
          <w:b/>
        </w:rPr>
      </w:pPr>
      <w:r>
        <w:rPr>
          <w:rFonts w:ascii="Tahoma" w:hAnsi="Tahoma" w:cs="Tahoma"/>
          <w:b/>
        </w:rPr>
        <w:br w:type="page"/>
      </w:r>
    </w:p>
    <w:p w:rsidR="00E67D5A" w:rsidRPr="00CE4443" w:rsidRDefault="003F2879" w:rsidP="00E67D5A">
      <w:pPr>
        <w:spacing w:after="0" w:line="240" w:lineRule="auto"/>
        <w:jc w:val="center"/>
        <w:rPr>
          <w:rFonts w:ascii="Tahoma" w:eastAsia="Times New Roman" w:hAnsi="Tahoma" w:cs="Tahoma"/>
          <w:b/>
          <w:lang w:eastAsia="en-GB"/>
        </w:rPr>
      </w:pPr>
      <w:r>
        <w:rPr>
          <w:rFonts w:ascii="Tahoma" w:eastAsia="Times New Roman" w:hAnsi="Tahoma" w:cs="Tahoma"/>
          <w:b/>
          <w:lang w:eastAsia="en-GB"/>
        </w:rPr>
        <w:lastRenderedPageBreak/>
        <w:t xml:space="preserve">Connecting the </w:t>
      </w:r>
      <w:bookmarkStart w:id="0" w:name="_GoBack"/>
      <w:bookmarkEnd w:id="0"/>
      <w:r w:rsidR="00E67D5A" w:rsidRPr="00CE4443">
        <w:rPr>
          <w:rFonts w:ascii="Tahoma" w:eastAsia="Times New Roman" w:hAnsi="Tahoma" w:cs="Tahoma"/>
          <w:b/>
          <w:lang w:eastAsia="en-GB"/>
        </w:rPr>
        <w:t>dots on SRHR in Southern Africa</w:t>
      </w:r>
    </w:p>
    <w:p w:rsidR="00E67D5A" w:rsidRPr="00DC67E0" w:rsidRDefault="00E67D5A" w:rsidP="00E67D5A">
      <w:pPr>
        <w:spacing w:after="0" w:line="240" w:lineRule="auto"/>
        <w:jc w:val="center"/>
        <w:rPr>
          <w:rFonts w:ascii="Tahoma" w:eastAsia="Times New Roman" w:hAnsi="Tahoma" w:cs="Tahoma"/>
          <w:b/>
          <w:lang w:eastAsia="en-GB"/>
        </w:rPr>
      </w:pPr>
      <w:r w:rsidRPr="00DC67E0">
        <w:rPr>
          <w:rFonts w:ascii="Tahoma" w:eastAsia="Times New Roman" w:hAnsi="Tahoma" w:cs="Tahoma"/>
          <w:b/>
          <w:lang w:eastAsia="en-GB"/>
        </w:rPr>
        <w:t>Gender Links Case Study</w:t>
      </w:r>
    </w:p>
    <w:p w:rsidR="00E67D5A" w:rsidRPr="00DC67E0" w:rsidRDefault="00E67D5A" w:rsidP="00E67D5A">
      <w:pPr>
        <w:spacing w:after="0" w:line="240" w:lineRule="auto"/>
        <w:jc w:val="center"/>
        <w:rPr>
          <w:rFonts w:ascii="Tahoma" w:eastAsia="Times New Roman" w:hAnsi="Tahoma" w:cs="Tahoma"/>
          <w:b/>
          <w:lang w:eastAsia="en-GB"/>
        </w:rPr>
      </w:pPr>
    </w:p>
    <w:p w:rsidR="00E67D5A" w:rsidRPr="0057256C" w:rsidRDefault="00E67D5A" w:rsidP="00E67D5A">
      <w:pPr>
        <w:spacing w:after="0" w:line="240" w:lineRule="auto"/>
        <w:jc w:val="both"/>
        <w:rPr>
          <w:rFonts w:ascii="Tahoma" w:eastAsia="Times New Roman" w:hAnsi="Tahoma" w:cs="Tahoma"/>
          <w:lang w:eastAsia="en-GB"/>
        </w:rPr>
      </w:pPr>
      <w:r w:rsidRPr="00DC67E0">
        <w:rPr>
          <w:rFonts w:ascii="Tahoma" w:eastAsia="Times New Roman" w:hAnsi="Tahoma" w:cs="Tahoma"/>
          <w:noProof/>
          <w:lang w:eastAsia="en-GB"/>
        </w:rPr>
        <mc:AlternateContent>
          <mc:Choice Requires="wps">
            <w:drawing>
              <wp:anchor distT="0" distB="0" distL="114300" distR="114300" simplePos="0" relativeHeight="251670528" behindDoc="0" locked="0" layoutInCell="1" allowOverlap="1" wp14:anchorId="522FA22E" wp14:editId="086DAD9C">
                <wp:simplePos x="0" y="0"/>
                <wp:positionH relativeFrom="column">
                  <wp:posOffset>-10160</wp:posOffset>
                </wp:positionH>
                <wp:positionV relativeFrom="paragraph">
                  <wp:posOffset>26670</wp:posOffset>
                </wp:positionV>
                <wp:extent cx="3000375" cy="2209800"/>
                <wp:effectExtent l="0" t="0" r="28575" b="19050"/>
                <wp:wrapSquare wrapText="bothSides"/>
                <wp:docPr id="19" name="Text Box 19"/>
                <wp:cNvGraphicFramePr/>
                <a:graphic xmlns:a="http://schemas.openxmlformats.org/drawingml/2006/main">
                  <a:graphicData uri="http://schemas.microsoft.com/office/word/2010/wordprocessingShape">
                    <wps:wsp>
                      <wps:cNvSpPr txBox="1"/>
                      <wps:spPr>
                        <a:xfrm>
                          <a:off x="0" y="0"/>
                          <a:ext cx="3000375" cy="2209800"/>
                        </a:xfrm>
                        <a:prstGeom prst="rect">
                          <a:avLst/>
                        </a:prstGeom>
                        <a:solidFill>
                          <a:sysClr val="window" lastClr="FFFFFF"/>
                        </a:solidFill>
                        <a:ln w="6350">
                          <a:solidFill>
                            <a:prstClr val="black"/>
                          </a:solidFill>
                        </a:ln>
                        <a:effectLst/>
                      </wps:spPr>
                      <wps:txbx>
                        <w:txbxContent>
                          <w:p w:rsidR="00E67D5A" w:rsidRDefault="00E67D5A" w:rsidP="00E67D5A">
                            <w:pPr>
                              <w:keepNext/>
                            </w:pPr>
                            <w:r>
                              <w:rPr>
                                <w:noProof/>
                                <w:lang w:eastAsia="en-GB"/>
                              </w:rPr>
                              <w:drawing>
                                <wp:inline distT="0" distB="0" distL="0" distR="0" wp14:anchorId="1FF76337" wp14:editId="70A5EBC0">
                                  <wp:extent cx="2847975" cy="2136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E67D5A" w:rsidRDefault="00E67D5A" w:rsidP="00E67D5A">
                            <w:pPr>
                              <w:pStyle w:val="Caption"/>
                              <w:jc w:val="both"/>
                            </w:pPr>
                            <w:r>
                              <w:t xml:space="preserve">Figure </w:t>
                            </w:r>
                            <w:r>
                              <w:fldChar w:fldCharType="begin"/>
                            </w:r>
                            <w:r>
                              <w:instrText xml:space="preserve"> SEQ Figure \* ARABIC </w:instrText>
                            </w:r>
                            <w:r>
                              <w:fldChar w:fldCharType="separate"/>
                            </w:r>
                            <w:r>
                              <w:rPr>
                                <w:noProof/>
                              </w:rPr>
                              <w:t>1</w:t>
                            </w:r>
                            <w:r>
                              <w:rPr>
                                <w:noProof/>
                              </w:rPr>
                              <w:fldChar w:fldCharType="end"/>
                            </w:r>
                          </w:p>
                          <w:p w:rsidR="00E67D5A" w:rsidRDefault="00E67D5A" w:rsidP="00E67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8pt;margin-top:2.1pt;width:236.2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" fillcolor="window" strokeweight=".5pt">
                <v:textbox>
                  <w:txbxContent>
                    <w:p w:rsidR="00E67D5A" w:rsidRDefault="00E67D5A" w:rsidP="00E67D5A">
                      <w:pPr>
                        <w:keepNext/>
                      </w:pPr>
                      <w:r>
                        <w:rPr>
                          <w:noProof/>
                          <w:lang w:eastAsia="en-GB"/>
                        </w:rPr>
                        <w:drawing>
                          <wp:inline distT="0" distB="0" distL="0" distR="0" wp14:anchorId="1FF76337" wp14:editId="70A5EBC0">
                            <wp:extent cx="2847975" cy="2136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E67D5A" w:rsidRDefault="00E67D5A" w:rsidP="00E67D5A">
                      <w:pPr>
                        <w:pStyle w:val="Caption"/>
                        <w:jc w:val="both"/>
                      </w:pPr>
                      <w:r>
                        <w:t xml:space="preserve">Figure </w:t>
                      </w:r>
                      <w:r>
                        <w:fldChar w:fldCharType="begin"/>
                      </w:r>
                      <w:r>
                        <w:instrText xml:space="preserve"> SEQ Figure \* ARABIC </w:instrText>
                      </w:r>
                      <w:r>
                        <w:fldChar w:fldCharType="separate"/>
                      </w:r>
                      <w:r>
                        <w:rPr>
                          <w:noProof/>
                        </w:rPr>
                        <w:t>1</w:t>
                      </w:r>
                      <w:r>
                        <w:rPr>
                          <w:noProof/>
                        </w:rPr>
                        <w:fldChar w:fldCharType="end"/>
                      </w:r>
                    </w:p>
                    <w:p w:rsidR="00E67D5A" w:rsidRDefault="00E67D5A" w:rsidP="00E67D5A"/>
                  </w:txbxContent>
                </v:textbox>
                <w10:wrap type="square"/>
              </v:shape>
            </w:pict>
          </mc:Fallback>
        </mc:AlternateContent>
      </w:r>
      <w:r w:rsidRPr="00DC67E0">
        <w:rPr>
          <w:rFonts w:ascii="Tahoma" w:eastAsia="Times New Roman" w:hAnsi="Tahoma" w:cs="Tahoma"/>
          <w:lang w:eastAsia="en-GB"/>
        </w:rPr>
        <w:t>This case study demonstrates the unique way in which Gender Links</w:t>
      </w:r>
      <w:r>
        <w:rPr>
          <w:rFonts w:ascii="Tahoma" w:eastAsia="Times New Roman" w:hAnsi="Tahoma" w:cs="Tahoma"/>
          <w:lang w:eastAsia="en-GB"/>
        </w:rPr>
        <w:t xml:space="preserve"> (GL)</w:t>
      </w:r>
      <w:r w:rsidRPr="00DC67E0">
        <w:rPr>
          <w:rFonts w:ascii="Tahoma" w:eastAsia="Times New Roman" w:hAnsi="Tahoma" w:cs="Tahoma"/>
          <w:lang w:eastAsia="en-GB"/>
        </w:rPr>
        <w:t xml:space="preserve">, the lead agency in this consortium, is driving the campaign for SRHR from local to regional level through its work with 425 Councils in ten Southern African Development Community (SADC) countries. GL and 40 NGOs in the Southern African Gender Protocol Alliance campaigned for </w:t>
      </w:r>
      <w:r>
        <w:rPr>
          <w:rFonts w:ascii="Tahoma" w:eastAsia="Times New Roman" w:hAnsi="Tahoma" w:cs="Tahoma"/>
          <w:lang w:eastAsia="en-GB"/>
        </w:rPr>
        <w:t xml:space="preserve">the SADC Gender Protocol, a </w:t>
      </w:r>
      <w:r w:rsidRPr="00DC67E0">
        <w:rPr>
          <w:rFonts w:ascii="Tahoma" w:eastAsia="Times New Roman" w:hAnsi="Tahoma" w:cs="Tahoma"/>
          <w:lang w:eastAsia="en-GB"/>
        </w:rPr>
        <w:t xml:space="preserve">unique sub-regional instrument that brings together African and global commitments to gender equality. Working with gender </w:t>
      </w:r>
      <w:r>
        <w:rPr>
          <w:rFonts w:ascii="Tahoma" w:eastAsia="Times New Roman" w:hAnsi="Tahoma" w:cs="Tahoma"/>
          <w:lang w:eastAsia="en-GB"/>
        </w:rPr>
        <w:t>and local government ministries</w:t>
      </w:r>
      <w:r w:rsidRPr="00DC67E0">
        <w:rPr>
          <w:rFonts w:ascii="Tahoma" w:eastAsia="Times New Roman" w:hAnsi="Tahoma" w:cs="Tahoma"/>
          <w:lang w:eastAsia="en-GB"/>
        </w:rPr>
        <w:t xml:space="preserve"> GL cascades these targets to the local level through its Centres of Excellence for Gender in Local Government</w:t>
      </w:r>
      <w:r>
        <w:rPr>
          <w:rFonts w:ascii="Tahoma" w:eastAsia="Times New Roman" w:hAnsi="Tahoma" w:cs="Tahoma"/>
          <w:lang w:eastAsia="en-GB"/>
        </w:rPr>
        <w:t>. Over the last five</w:t>
      </w:r>
      <w:r w:rsidRPr="00DC67E0">
        <w:rPr>
          <w:rFonts w:ascii="Tahoma" w:eastAsia="Times New Roman" w:hAnsi="Tahoma" w:cs="Tahoma"/>
          <w:lang w:eastAsia="en-GB"/>
        </w:rPr>
        <w:t xml:space="preserve"> years, partners have shared over 2000 case studies of the SADC Protocol@Work in 26 </w:t>
      </w:r>
      <w:proofErr w:type="gramStart"/>
      <w:r w:rsidRPr="00DC67E0">
        <w:rPr>
          <w:rFonts w:ascii="Tahoma" w:eastAsia="Times New Roman" w:hAnsi="Tahoma" w:cs="Tahoma"/>
          <w:lang w:eastAsia="en-GB"/>
        </w:rPr>
        <w:t>district</w:t>
      </w:r>
      <w:proofErr w:type="gramEnd"/>
      <w:r w:rsidRPr="00DC67E0">
        <w:rPr>
          <w:rFonts w:ascii="Tahoma" w:eastAsia="Times New Roman" w:hAnsi="Tahoma" w:cs="Tahoma"/>
          <w:lang w:eastAsia="en-GB"/>
        </w:rPr>
        <w:t>, 36 national and eight regional summits.</w:t>
      </w:r>
      <w:r>
        <w:rPr>
          <w:rFonts w:ascii="Tahoma" w:eastAsia="Times New Roman" w:hAnsi="Tahoma" w:cs="Tahoma"/>
          <w:lang w:eastAsia="en-GB"/>
        </w:rPr>
        <w:t xml:space="preserve"> While GL is not directly involved in implementation, the case studies reflect the extent to which gender policies and advocacy create an enabling environment for action on the ground with multiplier effects well beyond what one middle size Women’s Rights Organisation could achieve.  </w:t>
      </w:r>
      <w:r w:rsidRPr="0057256C">
        <w:rPr>
          <w:rFonts w:ascii="Tahoma" w:eastAsia="Times New Roman" w:hAnsi="Tahoma" w:cs="Tahoma"/>
          <w:lang w:eastAsia="en-GB"/>
        </w:rPr>
        <w:t xml:space="preserve">GL’s </w:t>
      </w:r>
      <w:r>
        <w:rPr>
          <w:rFonts w:ascii="Tahoma" w:eastAsia="Times New Roman" w:hAnsi="Tahoma" w:cs="Tahoma"/>
          <w:lang w:eastAsia="en-GB"/>
        </w:rPr>
        <w:t xml:space="preserve">catalytic impact </w:t>
      </w:r>
      <w:r w:rsidRPr="0057256C">
        <w:rPr>
          <w:rFonts w:ascii="Tahoma" w:eastAsia="Times New Roman" w:hAnsi="Tahoma" w:cs="Tahoma"/>
          <w:lang w:eastAsia="en-GB"/>
        </w:rPr>
        <w:t xml:space="preserve">has been </w:t>
      </w:r>
      <w:r>
        <w:rPr>
          <w:rFonts w:ascii="Tahoma" w:eastAsia="Times New Roman" w:hAnsi="Tahoma" w:cs="Tahoma"/>
          <w:lang w:eastAsia="en-GB"/>
        </w:rPr>
        <w:t xml:space="preserve">independently </w:t>
      </w:r>
      <w:r w:rsidRPr="0057256C">
        <w:rPr>
          <w:rFonts w:ascii="Tahoma" w:eastAsia="Times New Roman" w:hAnsi="Tahoma" w:cs="Tahoma"/>
          <w:lang w:eastAsia="en-GB"/>
        </w:rPr>
        <w:t xml:space="preserve">evaluated and commended by Coffey, a London-based development consultancy, as one of twelve case studies </w:t>
      </w:r>
      <w:r>
        <w:rPr>
          <w:rFonts w:ascii="Tahoma" w:eastAsia="Times New Roman" w:hAnsi="Tahoma" w:cs="Tahoma"/>
          <w:lang w:eastAsia="en-GB"/>
        </w:rPr>
        <w:t>in the</w:t>
      </w:r>
      <w:r w:rsidRPr="0057256C">
        <w:rPr>
          <w:rFonts w:ascii="Tahoma" w:eastAsia="Times New Roman" w:hAnsi="Tahoma" w:cs="Tahoma"/>
          <w:lang w:eastAsia="en-GB"/>
        </w:rPr>
        <w:t xml:space="preserve"> DFID Programme Partnership Arrangement</w:t>
      </w:r>
      <w:r>
        <w:rPr>
          <w:rFonts w:ascii="Tahoma" w:eastAsia="Times New Roman" w:hAnsi="Tahoma" w:cs="Tahoma"/>
          <w:lang w:eastAsia="en-GB"/>
        </w:rPr>
        <w:t xml:space="preserve"> (</w:t>
      </w:r>
      <w:proofErr w:type="spellStart"/>
      <w:r>
        <w:rPr>
          <w:rFonts w:ascii="Tahoma" w:eastAsia="Times New Roman" w:hAnsi="Tahoma" w:cs="Tahoma"/>
          <w:lang w:eastAsia="en-GB"/>
        </w:rPr>
        <w:t>PPA</w:t>
      </w:r>
      <w:proofErr w:type="spellEnd"/>
      <w:r>
        <w:rPr>
          <w:rFonts w:ascii="Tahoma" w:eastAsia="Times New Roman" w:hAnsi="Tahoma" w:cs="Tahoma"/>
          <w:lang w:eastAsia="en-GB"/>
        </w:rPr>
        <w:t xml:space="preserve">) in which GL is the only Southern based grantee (see graphic at </w:t>
      </w:r>
      <w:r w:rsidRPr="006E6E53">
        <w:rPr>
          <w:rFonts w:ascii="Tahoma" w:eastAsia="Times New Roman" w:hAnsi="Tahoma" w:cs="Tahoma"/>
          <w:i/>
          <w:lang w:eastAsia="en-GB"/>
        </w:rPr>
        <w:t>Annex 1</w:t>
      </w:r>
      <w:r w:rsidRPr="0057256C">
        <w:rPr>
          <w:rFonts w:ascii="Tahoma" w:eastAsia="Times New Roman" w:hAnsi="Tahoma" w:cs="Tahoma"/>
          <w:lang w:eastAsia="en-GB"/>
        </w:rPr>
        <w:t xml:space="preserve">).  </w:t>
      </w:r>
    </w:p>
    <w:p w:rsidR="00E67D5A" w:rsidRPr="0057256C" w:rsidRDefault="00E67D5A" w:rsidP="00E67D5A">
      <w:pPr>
        <w:spacing w:after="0" w:line="240" w:lineRule="auto"/>
        <w:jc w:val="both"/>
        <w:rPr>
          <w:rFonts w:ascii="Tahoma" w:eastAsia="Times New Roman" w:hAnsi="Tahoma" w:cs="Tahoma"/>
          <w:b/>
          <w:lang w:eastAsia="en-GB"/>
        </w:rPr>
      </w:pPr>
    </w:p>
    <w:p w:rsidR="00E67D5A" w:rsidRPr="0057256C" w:rsidRDefault="00E67D5A" w:rsidP="00E67D5A">
      <w:pPr>
        <w:spacing w:after="0" w:line="240" w:lineRule="auto"/>
        <w:rPr>
          <w:rFonts w:ascii="Tahoma" w:eastAsia="Times New Roman" w:hAnsi="Tahoma" w:cs="Tahoma"/>
          <w:b/>
          <w:lang w:eastAsia="en-GB"/>
        </w:rPr>
      </w:pPr>
      <w:r w:rsidRPr="0057256C">
        <w:rPr>
          <w:rFonts w:ascii="Tahoma" w:eastAsia="Times New Roman" w:hAnsi="Tahoma" w:cs="Tahoma"/>
          <w:noProof/>
          <w:lang w:eastAsia="en-GB"/>
        </w:rPr>
        <w:drawing>
          <wp:anchor distT="0" distB="0" distL="114300" distR="114300" simplePos="0" relativeHeight="251671552" behindDoc="1" locked="0" layoutInCell="1" allowOverlap="1" wp14:anchorId="72A9E68D" wp14:editId="7AFEA7DB">
            <wp:simplePos x="0" y="0"/>
            <wp:positionH relativeFrom="column">
              <wp:posOffset>-285750</wp:posOffset>
            </wp:positionH>
            <wp:positionV relativeFrom="paragraph">
              <wp:posOffset>115570</wp:posOffset>
            </wp:positionV>
            <wp:extent cx="4533900" cy="3238500"/>
            <wp:effectExtent l="0" t="57150" r="0" b="952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E67D5A" w:rsidRPr="0057256C" w:rsidRDefault="00E67D5A" w:rsidP="00E67D5A">
      <w:pPr>
        <w:spacing w:after="0" w:line="240" w:lineRule="auto"/>
        <w:jc w:val="both"/>
        <w:rPr>
          <w:rFonts w:ascii="Tahoma" w:eastAsia="Calibri" w:hAnsi="Tahoma" w:cs="Tahoma"/>
          <w:b/>
          <w:i/>
          <w:sz w:val="24"/>
        </w:rPr>
      </w:pPr>
      <w:r w:rsidRPr="0057256C">
        <w:rPr>
          <w:rFonts w:ascii="Tahoma" w:eastAsia="Times New Roman" w:hAnsi="Tahoma" w:cs="Tahoma"/>
          <w:lang w:eastAsia="en-GB"/>
        </w:rPr>
        <w:t>In 2015, as part of the campaign to update the SADC Gender Protocol in line with the Sustainable Development Goals</w:t>
      </w:r>
      <w:r>
        <w:rPr>
          <w:rFonts w:ascii="Tahoma" w:eastAsia="Times New Roman" w:hAnsi="Tahoma" w:cs="Tahoma"/>
          <w:lang w:eastAsia="en-GB"/>
        </w:rPr>
        <w:t xml:space="preserve"> (SDGs)</w:t>
      </w:r>
      <w:r w:rsidRPr="0057256C">
        <w:rPr>
          <w:rFonts w:ascii="Tahoma" w:eastAsia="Times New Roman" w:hAnsi="Tahoma" w:cs="Tahoma"/>
          <w:lang w:eastAsia="en-GB"/>
        </w:rPr>
        <w:t xml:space="preserve">, the Alliance introduced SRHR as a </w:t>
      </w:r>
      <w:r>
        <w:rPr>
          <w:rFonts w:ascii="Tahoma" w:eastAsia="Times New Roman" w:hAnsi="Tahoma" w:cs="Tahoma"/>
          <w:lang w:eastAsia="en-GB"/>
        </w:rPr>
        <w:t xml:space="preserve">distinct category </w:t>
      </w:r>
      <w:r w:rsidRPr="0057256C">
        <w:rPr>
          <w:rFonts w:ascii="Tahoma" w:eastAsia="Times New Roman" w:hAnsi="Tahoma" w:cs="Tahoma"/>
          <w:lang w:eastAsia="en-GB"/>
        </w:rPr>
        <w:t xml:space="preserve">in the summits. This analysis of the 92 case studies shared </w:t>
      </w:r>
      <w:r>
        <w:rPr>
          <w:rFonts w:ascii="Tahoma" w:eastAsia="Times New Roman" w:hAnsi="Tahoma" w:cs="Tahoma"/>
          <w:lang w:eastAsia="en-GB"/>
        </w:rPr>
        <w:t xml:space="preserve">in this category in 2015 shows </w:t>
      </w:r>
      <w:r w:rsidRPr="0057256C">
        <w:rPr>
          <w:rFonts w:ascii="Tahoma" w:eastAsia="Times New Roman" w:hAnsi="Tahoma" w:cs="Tahoma"/>
          <w:lang w:eastAsia="en-GB"/>
        </w:rPr>
        <w:t xml:space="preserve">how, working through local government, GL is able to introduce sensitive subjects with a high degree of local ownership, as well as amplify these results through lobbying for stronger regional standard-setting. </w:t>
      </w:r>
    </w:p>
    <w:p w:rsidR="00E67D5A" w:rsidRPr="0057256C" w:rsidRDefault="00E67D5A" w:rsidP="00E67D5A">
      <w:pPr>
        <w:spacing w:after="0" w:line="240" w:lineRule="auto"/>
        <w:jc w:val="both"/>
        <w:rPr>
          <w:rFonts w:ascii="Tahoma" w:eastAsia="Calibri" w:hAnsi="Tahoma" w:cs="Tahoma"/>
          <w:b/>
          <w:i/>
          <w:sz w:val="24"/>
        </w:rPr>
      </w:pPr>
    </w:p>
    <w:p w:rsidR="00E67D5A" w:rsidRPr="0057256C" w:rsidRDefault="00E67D5A" w:rsidP="00E67D5A">
      <w:pPr>
        <w:spacing w:after="0" w:line="240" w:lineRule="auto"/>
        <w:jc w:val="both"/>
        <w:rPr>
          <w:rFonts w:ascii="Tahoma" w:eastAsia="Calibri" w:hAnsi="Tahoma" w:cs="Tahoma"/>
          <w:b/>
          <w:i/>
          <w:sz w:val="24"/>
        </w:rPr>
      </w:pPr>
      <w:r w:rsidRPr="0057256C">
        <w:rPr>
          <w:rFonts w:ascii="Tahoma" w:eastAsia="Calibri" w:hAnsi="Tahoma" w:cs="Tahoma"/>
          <w:noProof/>
          <w:lang w:eastAsia="en-GB"/>
        </w:rPr>
        <w:lastRenderedPageBreak/>
        <w:drawing>
          <wp:anchor distT="0" distB="0" distL="114300" distR="114300" simplePos="0" relativeHeight="251672576" behindDoc="0" locked="0" layoutInCell="1" allowOverlap="1" wp14:anchorId="167A6756" wp14:editId="70DAFB92">
            <wp:simplePos x="0" y="0"/>
            <wp:positionH relativeFrom="column">
              <wp:posOffset>66675</wp:posOffset>
            </wp:positionH>
            <wp:positionV relativeFrom="paragraph">
              <wp:posOffset>0</wp:posOffset>
            </wp:positionV>
            <wp:extent cx="5295900" cy="3095625"/>
            <wp:effectExtent l="0" t="0" r="19050"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67D5A" w:rsidRPr="0057256C"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Pr="0057256C" w:rsidRDefault="00E67D5A" w:rsidP="00E67D5A">
      <w:pPr>
        <w:spacing w:after="0" w:line="240" w:lineRule="auto"/>
        <w:jc w:val="both"/>
        <w:rPr>
          <w:rFonts w:ascii="Tahoma" w:eastAsia="Times New Roman" w:hAnsi="Tahoma" w:cs="Tahoma"/>
          <w:lang w:eastAsia="en-GB"/>
        </w:rPr>
      </w:pPr>
      <w:r w:rsidRPr="0057256C">
        <w:rPr>
          <w:rFonts w:ascii="Tahoma" w:eastAsia="Calibri" w:hAnsi="Tahoma" w:cs="Tahoma"/>
          <w:b/>
          <w:i/>
          <w:sz w:val="24"/>
        </w:rPr>
        <w:t xml:space="preserve">Expertise and comparative strength on SRHR and HIV/AIDS in SADC: </w:t>
      </w:r>
      <w:r w:rsidRPr="0057256C">
        <w:rPr>
          <w:rFonts w:ascii="Tahoma" w:eastAsia="Times New Roman" w:hAnsi="Tahoma" w:cs="Tahoma"/>
          <w:lang w:eastAsia="en-GB"/>
        </w:rPr>
        <w:t xml:space="preserve">Over the last nine years, GL has worked with 425 councils, covering 26% of the population of SADC, to develop gender action plans with flagship programmes on SRHR, HIV and AIDS, and GBV as part of the ten stage COE programme. The range of countries that presented case studies on the impact of their work on SRHR in 2015 (see graph) demonstrates GL’s regional reach, including in Lusophone and Francophone speaking countries. </w:t>
      </w:r>
    </w:p>
    <w:p w:rsidR="00E67D5A" w:rsidRPr="0057256C" w:rsidRDefault="00E67D5A" w:rsidP="00E67D5A">
      <w:pPr>
        <w:spacing w:after="0" w:line="240" w:lineRule="auto"/>
        <w:jc w:val="both"/>
        <w:rPr>
          <w:rFonts w:ascii="Tahoma" w:eastAsia="Calibri" w:hAnsi="Tahoma" w:cs="Tahoma"/>
          <w:sz w:val="24"/>
        </w:rPr>
      </w:pPr>
    </w:p>
    <w:p w:rsidR="00E67D5A" w:rsidRPr="0057256C" w:rsidRDefault="00E67D5A" w:rsidP="00E67D5A">
      <w:pPr>
        <w:spacing w:after="0" w:line="240" w:lineRule="auto"/>
        <w:jc w:val="both"/>
        <w:rPr>
          <w:rFonts w:ascii="Tahoma" w:eastAsia="Times New Roman" w:hAnsi="Tahoma" w:cs="Tahoma"/>
          <w:lang w:eastAsia="en-GB"/>
        </w:rPr>
      </w:pPr>
      <w:r w:rsidRPr="0057256C">
        <w:rPr>
          <w:rFonts w:ascii="Tahoma" w:eastAsia="Calibri" w:hAnsi="Tahoma" w:cs="Tahoma"/>
          <w:b/>
          <w:i/>
        </w:rPr>
        <w:t xml:space="preserve">Involving local partners and target groups in preparing, planning and implementing: </w:t>
      </w:r>
      <w:r w:rsidRPr="0057256C">
        <w:rPr>
          <w:rFonts w:ascii="Tahoma" w:eastAsia="Times New Roman" w:hAnsi="Tahoma" w:cs="Tahoma"/>
          <w:lang w:eastAsia="en-GB"/>
        </w:rPr>
        <w:t xml:space="preserve">GL </w:t>
      </w:r>
      <w:r>
        <w:rPr>
          <w:rFonts w:ascii="Tahoma" w:eastAsia="Times New Roman" w:hAnsi="Tahoma" w:cs="Tahoma"/>
          <w:lang w:eastAsia="en-GB"/>
        </w:rPr>
        <w:t xml:space="preserve">country </w:t>
      </w:r>
      <w:proofErr w:type="gramStart"/>
      <w:r>
        <w:rPr>
          <w:rFonts w:ascii="Tahoma" w:eastAsia="Times New Roman" w:hAnsi="Tahoma" w:cs="Tahoma"/>
          <w:lang w:eastAsia="en-GB"/>
        </w:rPr>
        <w:t xml:space="preserve">staff </w:t>
      </w:r>
      <w:r w:rsidRPr="0057256C">
        <w:rPr>
          <w:rFonts w:ascii="Tahoma" w:eastAsia="Times New Roman" w:hAnsi="Tahoma" w:cs="Tahoma"/>
          <w:lang w:eastAsia="en-GB"/>
        </w:rPr>
        <w:t>assist</w:t>
      </w:r>
      <w:proofErr w:type="gramEnd"/>
      <w:r w:rsidRPr="0057256C">
        <w:rPr>
          <w:rFonts w:ascii="Tahoma" w:eastAsia="Times New Roman" w:hAnsi="Tahoma" w:cs="Tahoma"/>
          <w:lang w:eastAsia="en-GB"/>
        </w:rPr>
        <w:t xml:space="preserve"> the councils with capacity building support in developing action plans. The councils then document progress on their different interventions. One of the questions concerns how they involve beneficiaries. Testimonial evidence is a crucial part of the entries. Progress is presented in a case study format that is shared at district summits. Winners go on to national and regional summits. </w:t>
      </w:r>
    </w:p>
    <w:p w:rsidR="00E67D5A" w:rsidRPr="0057256C" w:rsidRDefault="00E67D5A" w:rsidP="00E67D5A">
      <w:pPr>
        <w:spacing w:before="100" w:beforeAutospacing="1" w:after="100" w:afterAutospacing="1" w:line="240" w:lineRule="auto"/>
        <w:jc w:val="both"/>
        <w:rPr>
          <w:rFonts w:ascii="Tahoma" w:eastAsia="Calibri" w:hAnsi="Tahoma" w:cs="Tahoma"/>
        </w:rPr>
      </w:pPr>
      <w:r w:rsidRPr="0057256C">
        <w:rPr>
          <w:rFonts w:ascii="Tahoma" w:eastAsia="Calibri" w:hAnsi="Tahoma" w:cs="Tahoma"/>
          <w:noProof/>
          <w:lang w:eastAsia="en-GB"/>
        </w:rPr>
        <w:drawing>
          <wp:inline distT="0" distB="0" distL="0" distR="0" wp14:anchorId="1BF20C1F" wp14:editId="2FC7D34F">
            <wp:extent cx="5314950" cy="20669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7D5A" w:rsidRPr="0057256C" w:rsidRDefault="00E67D5A" w:rsidP="00E67D5A">
      <w:pPr>
        <w:spacing w:before="100" w:beforeAutospacing="1" w:after="100" w:afterAutospacing="1" w:line="240" w:lineRule="auto"/>
        <w:jc w:val="both"/>
        <w:rPr>
          <w:rFonts w:ascii="Tahoma" w:eastAsia="Calibri" w:hAnsi="Tahoma" w:cs="Tahoma"/>
        </w:rPr>
      </w:pPr>
      <w:r w:rsidRPr="0057256C">
        <w:rPr>
          <w:rFonts w:ascii="Tahoma" w:eastAsia="Calibri" w:hAnsi="Tahoma" w:cs="Tahoma"/>
          <w:b/>
          <w:i/>
        </w:rPr>
        <w:t>Working with national and international networks:</w:t>
      </w:r>
      <w:r w:rsidRPr="0057256C">
        <w:rPr>
          <w:rFonts w:ascii="Tahoma" w:eastAsia="Calibri" w:hAnsi="Tahoma" w:cs="Tahoma"/>
        </w:rPr>
        <w:t xml:space="preserve"> The analysis shows that while local government (27% of the case studies) is t</w:t>
      </w:r>
      <w:r>
        <w:rPr>
          <w:rFonts w:ascii="Tahoma" w:eastAsia="Calibri" w:hAnsi="Tahoma" w:cs="Tahoma"/>
        </w:rPr>
        <w:t>he focus</w:t>
      </w:r>
      <w:r w:rsidRPr="0057256C">
        <w:rPr>
          <w:rFonts w:ascii="Tahoma" w:eastAsia="Calibri" w:hAnsi="Tahoma" w:cs="Tahoma"/>
        </w:rPr>
        <w:t xml:space="preserve"> of the work, the SADC Protocol@Work summits galvanise several other partners: community and faith-based organisations, NGOs and government departments. Alliance focal networks in each country organise the national summit. The </w:t>
      </w:r>
      <w:r>
        <w:rPr>
          <w:rFonts w:ascii="Tahoma" w:eastAsia="Calibri" w:hAnsi="Tahoma" w:cs="Tahoma"/>
        </w:rPr>
        <w:t xml:space="preserve">Alliance </w:t>
      </w:r>
      <w:r w:rsidRPr="0057256C">
        <w:rPr>
          <w:rFonts w:ascii="Tahoma" w:eastAsia="Calibri" w:hAnsi="Tahoma" w:cs="Tahoma"/>
        </w:rPr>
        <w:t xml:space="preserve">regional theme clusters serve as independent judges. </w:t>
      </w:r>
      <w:r>
        <w:rPr>
          <w:rFonts w:ascii="Tahoma" w:eastAsia="Calibri" w:hAnsi="Tahoma" w:cs="Tahoma"/>
        </w:rPr>
        <w:t xml:space="preserve">GL shares its results through SADC, African, Commonwealth and UN networks. </w:t>
      </w:r>
      <w:r w:rsidRPr="0057256C">
        <w:rPr>
          <w:rFonts w:ascii="Tahoma" w:eastAsia="Calibri" w:hAnsi="Tahoma" w:cs="Tahoma"/>
        </w:rPr>
        <w:t xml:space="preserve"> </w:t>
      </w:r>
    </w:p>
    <w:p w:rsidR="00E67D5A" w:rsidRPr="0057256C" w:rsidRDefault="00E67D5A" w:rsidP="00E67D5A">
      <w:pPr>
        <w:spacing w:after="0" w:line="240" w:lineRule="auto"/>
        <w:jc w:val="both"/>
        <w:rPr>
          <w:rFonts w:ascii="Tahoma" w:eastAsia="Calibri" w:hAnsi="Tahoma" w:cs="Tahoma"/>
        </w:rPr>
      </w:pPr>
    </w:p>
    <w:p w:rsidR="00E67D5A" w:rsidRDefault="00E67D5A" w:rsidP="00E67D5A">
      <w:pPr>
        <w:jc w:val="both"/>
        <w:rPr>
          <w:rFonts w:ascii="Tahoma" w:eastAsia="Calibri" w:hAnsi="Tahoma" w:cs="Tahoma"/>
        </w:rPr>
      </w:pPr>
      <w:r>
        <w:rPr>
          <w:noProof/>
          <w:lang w:eastAsia="en-GB"/>
        </w:rPr>
        <w:drawing>
          <wp:anchor distT="0" distB="0" distL="114300" distR="114300" simplePos="0" relativeHeight="251675648" behindDoc="0" locked="0" layoutInCell="1" allowOverlap="1" wp14:anchorId="20025392" wp14:editId="144CC1A9">
            <wp:simplePos x="0" y="0"/>
            <wp:positionH relativeFrom="column">
              <wp:posOffset>0</wp:posOffset>
            </wp:positionH>
            <wp:positionV relativeFrom="paragraph">
              <wp:posOffset>287655</wp:posOffset>
            </wp:positionV>
            <wp:extent cx="3752850" cy="1933575"/>
            <wp:effectExtent l="0" t="0" r="19050"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7256C">
        <w:rPr>
          <w:rFonts w:ascii="Tahoma" w:eastAsia="Calibri" w:hAnsi="Tahoma" w:cs="Tahoma"/>
          <w:b/>
          <w:i/>
        </w:rPr>
        <w:t xml:space="preserve">Covering all three target groups in the </w:t>
      </w:r>
      <w:proofErr w:type="spellStart"/>
      <w:r w:rsidRPr="0057256C">
        <w:rPr>
          <w:rFonts w:ascii="Tahoma" w:eastAsia="Calibri" w:hAnsi="Tahoma" w:cs="Tahoma"/>
          <w:b/>
          <w:i/>
        </w:rPr>
        <w:t>RNE</w:t>
      </w:r>
      <w:proofErr w:type="spellEnd"/>
      <w:r w:rsidRPr="0057256C">
        <w:rPr>
          <w:rFonts w:ascii="Tahoma" w:eastAsia="Calibri" w:hAnsi="Tahoma" w:cs="Tahoma"/>
          <w:b/>
          <w:i/>
        </w:rPr>
        <w:t xml:space="preserve"> call:</w:t>
      </w:r>
      <w:r w:rsidRPr="0057256C">
        <w:rPr>
          <w:rFonts w:ascii="Tahoma" w:eastAsia="Calibri" w:hAnsi="Tahoma" w:cs="Tahoma"/>
        </w:rPr>
        <w:t xml:space="preserve"> </w:t>
      </w:r>
      <w:r>
        <w:rPr>
          <w:rFonts w:ascii="Tahoma" w:eastAsia="Calibri" w:hAnsi="Tahoma" w:cs="Tahoma"/>
        </w:rPr>
        <w:t>T</w:t>
      </w:r>
      <w:r w:rsidRPr="0057256C">
        <w:rPr>
          <w:rFonts w:ascii="Tahoma" w:eastAsia="Calibri" w:hAnsi="Tahoma" w:cs="Tahoma"/>
        </w:rPr>
        <w:t>he analysis show</w:t>
      </w:r>
      <w:r>
        <w:rPr>
          <w:rFonts w:ascii="Tahoma" w:eastAsia="Calibri" w:hAnsi="Tahoma" w:cs="Tahoma"/>
        </w:rPr>
        <w:t>s</w:t>
      </w:r>
      <w:r w:rsidRPr="0057256C">
        <w:rPr>
          <w:rFonts w:ascii="Tahoma" w:eastAsia="Calibri" w:hAnsi="Tahoma" w:cs="Tahoma"/>
        </w:rPr>
        <w:t xml:space="preserve"> that while the majority of the SADC Protocol@Work case studies concerned women and men in general, they also focused on youth (26%),</w:t>
      </w:r>
      <w:r>
        <w:rPr>
          <w:rFonts w:ascii="Tahoma" w:eastAsia="Calibri" w:hAnsi="Tahoma" w:cs="Tahoma"/>
        </w:rPr>
        <w:t xml:space="preserve">and </w:t>
      </w:r>
      <w:r w:rsidRPr="0057256C">
        <w:rPr>
          <w:rFonts w:ascii="Tahoma" w:eastAsia="Calibri" w:hAnsi="Tahoma" w:cs="Tahoma"/>
        </w:rPr>
        <w:t>key populations (</w:t>
      </w:r>
      <w:r>
        <w:rPr>
          <w:rFonts w:ascii="Tahoma" w:eastAsia="Calibri" w:hAnsi="Tahoma" w:cs="Tahoma"/>
        </w:rPr>
        <w:t xml:space="preserve">12% of the case studies concerned </w:t>
      </w:r>
      <w:r w:rsidRPr="0057256C">
        <w:rPr>
          <w:rFonts w:ascii="Tahoma" w:eastAsia="Calibri" w:hAnsi="Tahoma" w:cs="Tahoma"/>
        </w:rPr>
        <w:t xml:space="preserve">sex workers, injecting drug users, </w:t>
      </w:r>
      <w:proofErr w:type="spellStart"/>
      <w:r w:rsidRPr="0057256C">
        <w:rPr>
          <w:rFonts w:ascii="Tahoma" w:eastAsia="Calibri" w:hAnsi="Tahoma" w:cs="Tahoma"/>
        </w:rPr>
        <w:t>LGBTI</w:t>
      </w:r>
      <w:proofErr w:type="spellEnd"/>
      <w:r w:rsidRPr="0057256C">
        <w:rPr>
          <w:rFonts w:ascii="Tahoma" w:eastAsia="Calibri" w:hAnsi="Tahoma" w:cs="Tahoma"/>
        </w:rPr>
        <w:t xml:space="preserve"> persons, persons with disabilities and prisoners</w:t>
      </w:r>
      <w:r>
        <w:rPr>
          <w:rFonts w:ascii="Tahoma" w:eastAsia="Calibri" w:hAnsi="Tahoma" w:cs="Tahoma"/>
        </w:rPr>
        <w:t>).</w:t>
      </w:r>
      <w:r w:rsidRPr="0057256C">
        <w:rPr>
          <w:rFonts w:ascii="Tahoma" w:eastAsia="Calibri" w:hAnsi="Tahoma" w:cs="Tahoma"/>
        </w:rPr>
        <w:t xml:space="preserve"> </w:t>
      </w:r>
    </w:p>
    <w:p w:rsidR="00E67D5A" w:rsidRPr="00C01F5F" w:rsidRDefault="00E67D5A" w:rsidP="00E67D5A">
      <w:pPr>
        <w:jc w:val="both"/>
        <w:rPr>
          <w:rFonts w:ascii="Tahoma" w:eastAsia="Calibri" w:hAnsi="Tahoma" w:cs="Tahoma"/>
          <w:lang w:val="en-US"/>
        </w:rPr>
      </w:pPr>
      <w:r>
        <w:rPr>
          <w:noProof/>
          <w:lang w:eastAsia="en-GB"/>
        </w:rPr>
        <w:drawing>
          <wp:anchor distT="0" distB="0" distL="114300" distR="114300" simplePos="0" relativeHeight="251676672" behindDoc="0" locked="0" layoutInCell="1" allowOverlap="1" wp14:anchorId="5FAE3E05" wp14:editId="3A8E268D">
            <wp:simplePos x="0" y="0"/>
            <wp:positionH relativeFrom="column">
              <wp:posOffset>3119755</wp:posOffset>
            </wp:positionH>
            <wp:positionV relativeFrom="paragraph">
              <wp:posOffset>17780</wp:posOffset>
            </wp:positionV>
            <wp:extent cx="2839720" cy="1895475"/>
            <wp:effectExtent l="0" t="0" r="0" b="9525"/>
            <wp:wrapSquare wrapText="bothSides"/>
            <wp:docPr id="12" name="IFid2" descr="Media Workshop_16Days_SB_3011201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Media Workshop_16Days_SB_30112015 (11)"/>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97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5F">
        <w:rPr>
          <w:rFonts w:ascii="Tahoma" w:eastAsia="Calibri" w:hAnsi="Tahoma" w:cs="Tahoma"/>
        </w:rPr>
        <w:t xml:space="preserve">In Mauritius, for example, </w:t>
      </w:r>
      <w:r>
        <w:rPr>
          <w:rFonts w:ascii="Tahoma" w:eastAsia="Calibri" w:hAnsi="Tahoma" w:cs="Tahoma"/>
          <w:lang w:val="en-US"/>
        </w:rPr>
        <w:t>t</w:t>
      </w:r>
      <w:r w:rsidRPr="00C01F5F">
        <w:rPr>
          <w:rFonts w:ascii="Tahoma" w:eastAsia="Calibri" w:hAnsi="Tahoma" w:cs="Tahoma"/>
          <w:lang w:val="en-US"/>
        </w:rPr>
        <w:t xml:space="preserve">he </w:t>
      </w:r>
      <w:r>
        <w:rPr>
          <w:rFonts w:ascii="Tahoma" w:eastAsia="Calibri" w:hAnsi="Tahoma" w:cs="Tahoma"/>
          <w:lang w:val="en-US"/>
        </w:rPr>
        <w:t xml:space="preserve">Young Queer Alliance (depicted in the adjacent photo) presented its work with </w:t>
      </w:r>
      <w:r w:rsidRPr="00C01F5F">
        <w:rPr>
          <w:rFonts w:ascii="Tahoma" w:eastAsia="Calibri" w:hAnsi="Tahoma" w:cs="Tahoma"/>
          <w:lang w:val="en-US"/>
        </w:rPr>
        <w:t>15 – 29 year</w:t>
      </w:r>
      <w:r>
        <w:rPr>
          <w:rFonts w:ascii="Tahoma" w:eastAsia="Calibri" w:hAnsi="Tahoma" w:cs="Tahoma"/>
          <w:lang w:val="en-US"/>
        </w:rPr>
        <w:t xml:space="preserve"> olds on </w:t>
      </w:r>
      <w:r w:rsidRPr="00C01F5F">
        <w:rPr>
          <w:rFonts w:ascii="Tahoma" w:eastAsia="Calibri" w:hAnsi="Tahoma" w:cs="Tahoma"/>
          <w:lang w:val="en-US"/>
        </w:rPr>
        <w:t xml:space="preserve">actions </w:t>
      </w:r>
      <w:r>
        <w:rPr>
          <w:rFonts w:ascii="Tahoma" w:eastAsia="Calibri" w:hAnsi="Tahoma" w:cs="Tahoma"/>
          <w:lang w:val="en-US"/>
        </w:rPr>
        <w:t>to de-</w:t>
      </w:r>
      <w:proofErr w:type="spellStart"/>
      <w:r>
        <w:rPr>
          <w:rFonts w:ascii="Tahoma" w:eastAsia="Calibri" w:hAnsi="Tahoma" w:cs="Tahoma"/>
          <w:lang w:val="en-US"/>
        </w:rPr>
        <w:t>stigmatise</w:t>
      </w:r>
      <w:proofErr w:type="spellEnd"/>
      <w:r>
        <w:rPr>
          <w:rFonts w:ascii="Tahoma" w:eastAsia="Calibri" w:hAnsi="Tahoma" w:cs="Tahoma"/>
          <w:lang w:val="en-US"/>
        </w:rPr>
        <w:t xml:space="preserve"> </w:t>
      </w:r>
      <w:proofErr w:type="spellStart"/>
      <w:r>
        <w:rPr>
          <w:rFonts w:ascii="Tahoma" w:eastAsia="Calibri" w:hAnsi="Tahoma" w:cs="Tahoma"/>
          <w:lang w:val="en-US"/>
        </w:rPr>
        <w:t>LGBTI</w:t>
      </w:r>
      <w:proofErr w:type="spellEnd"/>
      <w:r>
        <w:rPr>
          <w:rFonts w:ascii="Tahoma" w:eastAsia="Calibri" w:hAnsi="Tahoma" w:cs="Tahoma"/>
          <w:lang w:val="en-US"/>
        </w:rPr>
        <w:t>, create support networks, and lobby for enabling legislation. One case study concerned councils working with truck drivers on HIV and AIDS.</w:t>
      </w:r>
    </w:p>
    <w:p w:rsidR="00E67D5A" w:rsidRPr="0057256C" w:rsidRDefault="00E67D5A" w:rsidP="00E67D5A">
      <w:pPr>
        <w:spacing w:after="0" w:line="240" w:lineRule="auto"/>
        <w:jc w:val="both"/>
        <w:rPr>
          <w:rFonts w:ascii="Tahoma" w:eastAsia="Calibri" w:hAnsi="Tahoma" w:cs="Tahoma"/>
          <w:lang w:eastAsia="en-ZA"/>
        </w:rPr>
      </w:pPr>
      <w:r w:rsidRPr="0057256C">
        <w:rPr>
          <w:rFonts w:ascii="Tahoma" w:eastAsia="Calibri" w:hAnsi="Tahoma" w:cs="Tahoma"/>
          <w:b/>
          <w:i/>
        </w:rPr>
        <w:t>Men as partners:</w:t>
      </w:r>
      <w:r>
        <w:rPr>
          <w:rFonts w:ascii="Tahoma" w:eastAsia="Calibri" w:hAnsi="Tahoma" w:cs="Tahoma"/>
        </w:rPr>
        <w:t xml:space="preserve"> 27</w:t>
      </w:r>
      <w:r w:rsidRPr="0057256C">
        <w:rPr>
          <w:rFonts w:ascii="Tahoma" w:eastAsia="Calibri" w:hAnsi="Tahoma" w:cs="Tahoma"/>
        </w:rPr>
        <w:t xml:space="preserve">% of the case studies focused on men as partners. For example, </w:t>
      </w:r>
      <w:r>
        <w:rPr>
          <w:rFonts w:ascii="Tahoma" w:eastAsia="Calibri" w:hAnsi="Tahoma" w:cs="Tahoma"/>
        </w:rPr>
        <w:t xml:space="preserve">case studies from </w:t>
      </w:r>
      <w:r w:rsidRPr="0057256C">
        <w:rPr>
          <w:rFonts w:ascii="Tahoma" w:eastAsia="Calibri" w:hAnsi="Tahoma" w:cs="Tahoma"/>
        </w:rPr>
        <w:t xml:space="preserve">Swaziland and South Africa </w:t>
      </w:r>
      <w:r>
        <w:rPr>
          <w:rFonts w:ascii="Tahoma" w:eastAsia="Calibri" w:hAnsi="Tahoma" w:cs="Tahoma"/>
        </w:rPr>
        <w:t xml:space="preserve">showed how </w:t>
      </w:r>
      <w:r w:rsidRPr="0057256C">
        <w:rPr>
          <w:rFonts w:ascii="Tahoma" w:eastAsia="Calibri" w:hAnsi="Tahoma" w:cs="Tahoma"/>
        </w:rPr>
        <w:t xml:space="preserve">men are coming together to demystify some of the </w:t>
      </w:r>
      <w:r>
        <w:rPr>
          <w:rFonts w:ascii="Tahoma" w:eastAsia="Calibri" w:hAnsi="Tahoma" w:cs="Tahoma"/>
        </w:rPr>
        <w:t>attributes, behaviours and myths</w:t>
      </w:r>
      <w:r w:rsidRPr="0057256C">
        <w:rPr>
          <w:rFonts w:ascii="Tahoma" w:eastAsia="Calibri" w:hAnsi="Tahoma" w:cs="Tahoma"/>
        </w:rPr>
        <w:t xml:space="preserve"> around masculinity. </w:t>
      </w:r>
      <w:r w:rsidRPr="0057256C">
        <w:rPr>
          <w:rFonts w:ascii="Tahoma" w:eastAsia="Calibri" w:hAnsi="Tahoma" w:cs="Tahoma"/>
          <w:lang w:eastAsia="en-ZA"/>
        </w:rPr>
        <w:t xml:space="preserve">Through dialogues and workshops men and boys work as partners with women to end violence and fight against the </w:t>
      </w:r>
      <w:r>
        <w:rPr>
          <w:rFonts w:ascii="Tahoma" w:eastAsia="Calibri" w:hAnsi="Tahoma" w:cs="Tahoma"/>
          <w:lang w:eastAsia="en-ZA"/>
        </w:rPr>
        <w:t xml:space="preserve">twin scourges of GBV, </w:t>
      </w:r>
      <w:r w:rsidRPr="0057256C">
        <w:rPr>
          <w:rFonts w:ascii="Tahoma" w:eastAsia="Calibri" w:hAnsi="Tahoma" w:cs="Tahoma"/>
          <w:lang w:eastAsia="en-ZA"/>
        </w:rPr>
        <w:t>HIV and AIDS</w:t>
      </w:r>
      <w:r>
        <w:rPr>
          <w:rFonts w:ascii="Tahoma" w:eastAsia="Calibri" w:hAnsi="Tahoma" w:cs="Tahoma"/>
          <w:lang w:eastAsia="en-ZA"/>
        </w:rPr>
        <w:t>.</w:t>
      </w:r>
      <w:r w:rsidRPr="0057256C">
        <w:rPr>
          <w:rFonts w:ascii="Tahoma" w:eastAsia="Calibri" w:hAnsi="Tahoma" w:cs="Tahoma"/>
          <w:lang w:eastAsia="en-ZA"/>
        </w:rPr>
        <w:t xml:space="preserve"> </w:t>
      </w:r>
    </w:p>
    <w:p w:rsidR="00E67D5A" w:rsidRPr="0057256C" w:rsidRDefault="00E67D5A" w:rsidP="00E67D5A">
      <w:pPr>
        <w:spacing w:after="0" w:line="240" w:lineRule="auto"/>
        <w:jc w:val="both"/>
        <w:rPr>
          <w:rFonts w:ascii="Tahoma" w:eastAsia="Calibri" w:hAnsi="Tahoma" w:cs="Tahoma"/>
        </w:rPr>
      </w:pPr>
    </w:p>
    <w:p w:rsidR="00E67D5A" w:rsidRPr="0057256C" w:rsidRDefault="00E67D5A" w:rsidP="00E67D5A">
      <w:pPr>
        <w:spacing w:after="0" w:line="240" w:lineRule="auto"/>
        <w:jc w:val="both"/>
        <w:rPr>
          <w:rFonts w:ascii="Tahoma" w:eastAsia="Calibri" w:hAnsi="Tahoma" w:cs="Tahoma"/>
          <w:b/>
        </w:rPr>
      </w:pPr>
      <w:r w:rsidRPr="0057256C">
        <w:rPr>
          <w:rFonts w:ascii="Tahoma" w:eastAsia="Calibri" w:hAnsi="Tahoma" w:cs="Tahoma"/>
          <w:b/>
        </w:rPr>
        <w:t xml:space="preserve">Results and effectiveness </w:t>
      </w:r>
    </w:p>
    <w:p w:rsidR="00E67D5A" w:rsidRPr="0057256C" w:rsidRDefault="00E67D5A" w:rsidP="00E67D5A">
      <w:pPr>
        <w:spacing w:after="0" w:line="240" w:lineRule="auto"/>
        <w:jc w:val="both"/>
        <w:rPr>
          <w:rFonts w:ascii="Tahoma" w:eastAsia="Calibri" w:hAnsi="Tahoma" w:cs="Tahoma"/>
          <w:b/>
        </w:rPr>
      </w:pPr>
    </w:p>
    <w:p w:rsidR="00E67D5A" w:rsidRPr="0057256C" w:rsidRDefault="00E67D5A" w:rsidP="00E67D5A">
      <w:pPr>
        <w:spacing w:after="0" w:line="240" w:lineRule="auto"/>
        <w:jc w:val="both"/>
        <w:rPr>
          <w:rFonts w:ascii="Tahoma" w:eastAsia="Calibri" w:hAnsi="Tahoma" w:cs="Tahoma"/>
          <w:b/>
        </w:rPr>
      </w:pPr>
      <w:r w:rsidRPr="0057256C">
        <w:rPr>
          <w:rFonts w:ascii="Tahoma" w:eastAsia="Calibri" w:hAnsi="Tahoma" w:cs="Tahoma"/>
          <w:noProof/>
          <w:lang w:eastAsia="en-GB"/>
        </w:rPr>
        <w:drawing>
          <wp:inline distT="0" distB="0" distL="0" distR="0" wp14:anchorId="7A69B5CD" wp14:editId="44707DB9">
            <wp:extent cx="5381625" cy="26574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7D5A" w:rsidRDefault="00E67D5A" w:rsidP="00E67D5A">
      <w:pPr>
        <w:rPr>
          <w:rFonts w:ascii="Tahoma" w:eastAsia="Calibri" w:hAnsi="Tahoma" w:cs="Tahoma"/>
          <w:b/>
          <w:i/>
        </w:rPr>
      </w:pPr>
      <w:r>
        <w:rPr>
          <w:rFonts w:ascii="Tahoma" w:eastAsia="Calibri" w:hAnsi="Tahoma" w:cs="Tahoma"/>
          <w:b/>
          <w:i/>
        </w:rPr>
        <w:br w:type="page"/>
      </w:r>
    </w:p>
    <w:p w:rsidR="00E67D5A" w:rsidRPr="0057256C" w:rsidRDefault="00E67D5A" w:rsidP="00E67D5A">
      <w:pPr>
        <w:spacing w:after="0" w:line="240" w:lineRule="auto"/>
        <w:jc w:val="both"/>
        <w:rPr>
          <w:rFonts w:ascii="Tahoma" w:eastAsia="Calibri" w:hAnsi="Tahoma" w:cs="Tahoma"/>
          <w:b/>
          <w:i/>
        </w:rPr>
      </w:pPr>
      <w:r w:rsidRPr="008860EE">
        <w:rPr>
          <w:noProof/>
          <w:lang w:eastAsia="en-GB"/>
        </w:rPr>
        <w:lastRenderedPageBreak/>
        <w:drawing>
          <wp:anchor distT="0" distB="0" distL="114300" distR="114300" simplePos="0" relativeHeight="251677696" behindDoc="0" locked="0" layoutInCell="1" allowOverlap="1" wp14:anchorId="2A93EC9D" wp14:editId="07E904AD">
            <wp:simplePos x="0" y="0"/>
            <wp:positionH relativeFrom="column">
              <wp:posOffset>4542790</wp:posOffset>
            </wp:positionH>
            <wp:positionV relativeFrom="paragraph">
              <wp:posOffset>-26035</wp:posOffset>
            </wp:positionV>
            <wp:extent cx="1209675" cy="1205865"/>
            <wp:effectExtent l="0" t="0" r="9525" b="0"/>
            <wp:wrapSquare wrapText="bothSides"/>
            <wp:docPr id="14" name="Picture 14" descr="C:\Users\Sifiso Dube\AppData\Local\Microsoft\Windows\Temporary Internet Files\Content.Outlook\93RAKCOI\SADC BARO    2030 LOGOrgb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fiso Dube\AppData\Local\Microsoft\Windows\Temporary Internet Files\Content.Outlook\93RAKCOI\SADC BARO    2030 LOGOrgb (00000002).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20967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rPr>
        <w:t xml:space="preserve">SADC Protocol targets at work: </w:t>
      </w:r>
      <w:r w:rsidRPr="00B54676">
        <w:rPr>
          <w:rFonts w:ascii="Tahoma" w:eastAsia="Calibri" w:hAnsi="Tahoma" w:cs="Tahoma"/>
        </w:rPr>
        <w:t xml:space="preserve">15 of the existing 28 targets of the SADC Gender Protocol relate to SRHR. The graph shows how these are being put to work on the ground, with integrated approaches to ending GBV, universal access to HIV and </w:t>
      </w:r>
      <w:proofErr w:type="spellStart"/>
      <w:r w:rsidRPr="00B54676">
        <w:rPr>
          <w:rFonts w:ascii="Tahoma" w:eastAsia="Calibri" w:hAnsi="Tahoma" w:cs="Tahoma"/>
        </w:rPr>
        <w:t>AIDs</w:t>
      </w:r>
      <w:proofErr w:type="spellEnd"/>
      <w:r w:rsidRPr="00B54676">
        <w:rPr>
          <w:rFonts w:ascii="Tahoma" w:eastAsia="Calibri" w:hAnsi="Tahoma" w:cs="Tahoma"/>
        </w:rPr>
        <w:t xml:space="preserve"> treatment, </w:t>
      </w:r>
      <w:proofErr w:type="spellStart"/>
      <w:r w:rsidRPr="00B54676">
        <w:rPr>
          <w:rFonts w:ascii="Tahoma" w:eastAsia="Calibri" w:hAnsi="Tahoma" w:cs="Tahoma"/>
        </w:rPr>
        <w:t>SRH</w:t>
      </w:r>
      <w:proofErr w:type="spellEnd"/>
      <w:r w:rsidRPr="00B54676">
        <w:rPr>
          <w:rFonts w:ascii="Tahoma" w:eastAsia="Calibri" w:hAnsi="Tahoma" w:cs="Tahoma"/>
        </w:rPr>
        <w:t xml:space="preserve"> needs of women and men being the most referenced. </w:t>
      </w:r>
    </w:p>
    <w:p w:rsidR="00E67D5A" w:rsidRPr="00B54676" w:rsidRDefault="00E67D5A" w:rsidP="00E67D5A">
      <w:pPr>
        <w:spacing w:after="0" w:line="240" w:lineRule="auto"/>
        <w:jc w:val="both"/>
        <w:rPr>
          <w:rFonts w:ascii="Tahoma" w:eastAsia="Calibri" w:hAnsi="Tahoma" w:cs="Tahoma"/>
          <w:b/>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116518D2" wp14:editId="6E75FE10">
            <wp:extent cx="4829175" cy="23336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noProof/>
          <w:lang w:eastAsia="en-GB"/>
        </w:rPr>
        <mc:AlternateContent>
          <mc:Choice Requires="wps">
            <w:drawing>
              <wp:anchor distT="0" distB="0" distL="114300" distR="114300" simplePos="0" relativeHeight="251674624" behindDoc="0" locked="0" layoutInCell="1" allowOverlap="1" wp14:anchorId="3FA09A7B" wp14:editId="0F534577">
                <wp:simplePos x="0" y="0"/>
                <wp:positionH relativeFrom="column">
                  <wp:posOffset>4257675</wp:posOffset>
                </wp:positionH>
                <wp:positionV relativeFrom="paragraph">
                  <wp:posOffset>502920</wp:posOffset>
                </wp:positionV>
                <wp:extent cx="2152650" cy="3009900"/>
                <wp:effectExtent l="0" t="0" r="1905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2152650" cy="3009900"/>
                        </a:xfrm>
                        <a:prstGeom prst="rect">
                          <a:avLst/>
                        </a:prstGeom>
                        <a:solidFill>
                          <a:sysClr val="window" lastClr="FFFFFF"/>
                        </a:solidFill>
                        <a:ln w="6350">
                          <a:solidFill>
                            <a:prstClr val="black"/>
                          </a:solidFill>
                        </a:ln>
                        <a:effectLst/>
                      </wps:spPr>
                      <wps:txbx>
                        <w:txbxContent>
                          <w:p w:rsidR="00E67D5A" w:rsidRDefault="00E67D5A" w:rsidP="00E67D5A">
                            <w:r>
                              <w:rPr>
                                <w:noProof/>
                                <w:lang w:eastAsia="en-GB"/>
                              </w:rPr>
                              <w:drawing>
                                <wp:inline distT="0" distB="0" distL="0" distR="0" wp14:anchorId="711BA4EC" wp14:editId="4C92F6CE">
                                  <wp:extent cx="1981200" cy="264185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335.25pt;margin-top:39.6pt;width:169.5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" fillcolor="window" strokeweight=".5pt">
                <v:textbox>
                  <w:txbxContent>
                    <w:p w:rsidR="00E67D5A" w:rsidRDefault="00E67D5A" w:rsidP="00E67D5A">
                      <w:r>
                        <w:rPr>
                          <w:noProof/>
                          <w:lang w:eastAsia="en-GB"/>
                        </w:rPr>
                        <w:drawing>
                          <wp:inline distT="0" distB="0" distL="0" distR="0" wp14:anchorId="711BA4EC" wp14:editId="4C92F6CE">
                            <wp:extent cx="1981200" cy="264185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v:textbox>
                <w10:wrap type="square"/>
              </v:shape>
            </w:pict>
          </mc:Fallback>
        </mc:AlternateContent>
      </w:r>
      <w:r w:rsidRPr="00B54676">
        <w:rPr>
          <w:rFonts w:ascii="Tahoma" w:eastAsia="Calibri" w:hAnsi="Tahoma" w:cs="Tahoma"/>
          <w:b/>
          <w:i/>
        </w:rPr>
        <w:t>Promoting rights:</w:t>
      </w:r>
      <w:r w:rsidRPr="00B54676">
        <w:rPr>
          <w:rFonts w:ascii="Tahoma" w:eastAsia="Calibri" w:hAnsi="Tahoma" w:cs="Tahoma"/>
        </w:rPr>
        <w:t xml:space="preserve"> The analysis shows that the case studies have a strong rights-based focus (freedom from violence; </w:t>
      </w:r>
      <w:proofErr w:type="spellStart"/>
      <w:r w:rsidRPr="00B54676">
        <w:rPr>
          <w:rFonts w:ascii="Tahoma" w:eastAsia="Calibri" w:hAnsi="Tahoma" w:cs="Tahoma"/>
        </w:rPr>
        <w:t>SRR</w:t>
      </w:r>
      <w:proofErr w:type="spellEnd"/>
      <w:r w:rsidRPr="00B54676">
        <w:rPr>
          <w:rFonts w:ascii="Tahoma" w:eastAsia="Calibri" w:hAnsi="Tahoma" w:cs="Tahoma"/>
        </w:rPr>
        <w:t>). Some of the more sensitive areas (sexual pleasure, abortion, and sexual freedom) are not as prominent; however the fact that they are featuring on local agendas is a positive sign.</w:t>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089CA579" wp14:editId="7C84D21E">
            <wp:extent cx="3796631" cy="236127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9555" cy="2369314"/>
                    </a:xfrm>
                    <a:prstGeom prst="rect">
                      <a:avLst/>
                    </a:prstGeom>
                    <a:noFill/>
                  </pic:spPr>
                </pic:pic>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rPr>
        <w:t>In a proactive way:</w:t>
      </w:r>
      <w:r w:rsidRPr="00B54676">
        <w:rPr>
          <w:rFonts w:ascii="Tahoma" w:eastAsia="Calibri" w:hAnsi="Tahoma" w:cs="Tahoma"/>
          <w:b/>
        </w:rPr>
        <w:t xml:space="preserve"> </w:t>
      </w:r>
      <w:r w:rsidRPr="00B54676">
        <w:rPr>
          <w:rFonts w:ascii="Tahoma" w:eastAsia="Calibri" w:hAnsi="Tahoma" w:cs="Tahoma"/>
        </w:rPr>
        <w:t>The largest proportion of interventions concerns support (36%) and prevention (33%) of GBV, and HIV and AIDS.  It is encouraging to see that these proactive and preventive approaches feature more prominently than the reactive ones (response, care and treatment).</w:t>
      </w:r>
      <w:r>
        <w:rPr>
          <w:rFonts w:ascii="Tahoma" w:eastAsia="Calibri" w:hAnsi="Tahoma" w:cs="Tahoma"/>
        </w:rPr>
        <w:t xml:space="preserve"> This is an important paradigm shift in the region, and one that opens space for more rights-based approaches. </w:t>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lastRenderedPageBreak/>
        <w:drawing>
          <wp:inline distT="0" distB="0" distL="0" distR="0" wp14:anchorId="0E7DCDD3" wp14:editId="0B4DD3F9">
            <wp:extent cx="5229225" cy="21812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Default="00E67D5A" w:rsidP="00E67D5A">
      <w:pPr>
        <w:spacing w:after="0" w:line="240" w:lineRule="auto"/>
        <w:jc w:val="both"/>
        <w:rPr>
          <w:rFonts w:ascii="Tahoma" w:eastAsia="Calibri" w:hAnsi="Tahoma" w:cs="Tahoma"/>
        </w:rPr>
      </w:pPr>
      <w:r w:rsidRPr="00B54676">
        <w:rPr>
          <w:rFonts w:ascii="Tahoma" w:eastAsia="Calibri" w:hAnsi="Tahoma" w:cs="Tahoma"/>
          <w:b/>
          <w:i/>
        </w:rPr>
        <w:t>Changing attitudes and behaviour:</w:t>
      </w:r>
      <w:r w:rsidRPr="00B54676">
        <w:rPr>
          <w:rFonts w:ascii="Tahoma" w:eastAsia="Calibri" w:hAnsi="Tahoma" w:cs="Tahoma"/>
        </w:rPr>
        <w:t xml:space="preserve"> The most </w:t>
      </w:r>
      <w:r>
        <w:rPr>
          <w:rFonts w:ascii="Tahoma" w:eastAsia="Calibri" w:hAnsi="Tahoma" w:cs="Tahoma"/>
        </w:rPr>
        <w:t xml:space="preserve">reported </w:t>
      </w:r>
      <w:r w:rsidRPr="00B54676">
        <w:rPr>
          <w:rFonts w:ascii="Tahoma" w:eastAsia="Calibri" w:hAnsi="Tahoma" w:cs="Tahoma"/>
        </w:rPr>
        <w:t xml:space="preserve">change </w:t>
      </w:r>
      <w:r>
        <w:rPr>
          <w:rFonts w:ascii="Tahoma" w:eastAsia="Calibri" w:hAnsi="Tahoma" w:cs="Tahoma"/>
        </w:rPr>
        <w:t xml:space="preserve">in case studies analysed concerned greater </w:t>
      </w:r>
      <w:r w:rsidRPr="00B54676">
        <w:rPr>
          <w:rFonts w:ascii="Tahoma" w:eastAsia="Calibri" w:hAnsi="Tahoma" w:cs="Tahoma"/>
        </w:rPr>
        <w:t>public awareness</w:t>
      </w:r>
      <w:r>
        <w:rPr>
          <w:rFonts w:ascii="Tahoma" w:eastAsia="Calibri" w:hAnsi="Tahoma" w:cs="Tahoma"/>
        </w:rPr>
        <w:t xml:space="preserve"> (18%),</w:t>
      </w:r>
      <w:r w:rsidRPr="00B54676">
        <w:rPr>
          <w:rFonts w:ascii="Tahoma" w:eastAsia="Calibri" w:hAnsi="Tahoma" w:cs="Tahoma"/>
        </w:rPr>
        <w:t xml:space="preserve"> </w:t>
      </w:r>
      <w:r>
        <w:rPr>
          <w:rFonts w:ascii="Tahoma" w:eastAsia="Calibri" w:hAnsi="Tahoma" w:cs="Tahoma"/>
        </w:rPr>
        <w:t xml:space="preserve">followed by </w:t>
      </w:r>
      <w:r w:rsidRPr="00B54676">
        <w:rPr>
          <w:rFonts w:ascii="Tahoma" w:eastAsia="Calibri" w:hAnsi="Tahoma" w:cs="Tahoma"/>
        </w:rPr>
        <w:t>behaviour change</w:t>
      </w:r>
      <w:r>
        <w:rPr>
          <w:rFonts w:ascii="Tahoma" w:eastAsia="Calibri" w:hAnsi="Tahoma" w:cs="Tahoma"/>
        </w:rPr>
        <w:t xml:space="preserve"> (17%); reduced stigma (12%) and improved services (8%). The summary below of a case study from </w:t>
      </w:r>
      <w:r w:rsidRPr="006473B9">
        <w:rPr>
          <w:rFonts w:ascii="Tahoma" w:eastAsia="Calibri" w:hAnsi="Tahoma" w:cs="Tahoma"/>
          <w:b/>
        </w:rPr>
        <w:t>Madagascar</w:t>
      </w:r>
      <w:r>
        <w:rPr>
          <w:rFonts w:ascii="Tahoma" w:eastAsia="Calibri" w:hAnsi="Tahoma" w:cs="Tahoma"/>
        </w:rPr>
        <w:t xml:space="preserve"> shows how this is achieved: </w:t>
      </w:r>
    </w:p>
    <w:p w:rsidR="00E67D5A" w:rsidRPr="00B54676" w:rsidRDefault="00E67D5A" w:rsidP="00E67D5A">
      <w:pPr>
        <w:spacing w:after="0" w:line="240" w:lineRule="auto"/>
        <w:jc w:val="both"/>
        <w:rPr>
          <w:rFonts w:ascii="Tahoma" w:eastAsia="Calibri" w:hAnsi="Tahoma" w:cs="Tahoma"/>
        </w:rPr>
      </w:pPr>
    </w:p>
    <w:p w:rsidR="00E67D5A" w:rsidRPr="00F836E9" w:rsidRDefault="00E67D5A" w:rsidP="00E67D5A">
      <w:pPr>
        <w:shd w:val="clear" w:color="auto" w:fill="F2F2F2" w:themeFill="background1" w:themeFillShade="F2"/>
        <w:jc w:val="both"/>
        <w:rPr>
          <w:rFonts w:ascii="Tahoma" w:eastAsia="MS Mincho" w:hAnsi="Tahoma" w:cs="Tahoma"/>
        </w:rPr>
      </w:pPr>
      <w:r>
        <w:rPr>
          <w:rFonts w:ascii="Tahoma" w:eastAsia="MS Mincho" w:hAnsi="Tahoma" w:cs="Tahoma"/>
        </w:rPr>
        <w:t xml:space="preserve">In 2012 the gender committee of the </w:t>
      </w:r>
      <w:r w:rsidRPr="00F836E9">
        <w:rPr>
          <w:rFonts w:ascii="Tahoma" w:eastAsia="MS Mincho" w:hAnsi="Tahoma" w:cs="Tahoma"/>
        </w:rPr>
        <w:t xml:space="preserve">rural council of </w:t>
      </w:r>
      <w:proofErr w:type="spellStart"/>
      <w:r w:rsidRPr="00F836E9">
        <w:rPr>
          <w:rFonts w:ascii="Tahoma" w:eastAsia="MS Mincho" w:hAnsi="Tahoma" w:cs="Tahoma"/>
          <w:b/>
        </w:rPr>
        <w:t>Tsiafahy</w:t>
      </w:r>
      <w:proofErr w:type="spellEnd"/>
      <w:r>
        <w:rPr>
          <w:rFonts w:ascii="Tahoma" w:eastAsia="MS Mincho" w:hAnsi="Tahoma" w:cs="Tahoma"/>
          <w:b/>
        </w:rPr>
        <w:t xml:space="preserve">, </w:t>
      </w:r>
      <w:r>
        <w:rPr>
          <w:rFonts w:ascii="Tahoma" w:eastAsia="MS Mincho" w:hAnsi="Tahoma" w:cs="Tahoma"/>
        </w:rPr>
        <w:t>a GL COE,</w:t>
      </w:r>
      <w:r w:rsidRPr="006473B9">
        <w:rPr>
          <w:rFonts w:ascii="Tahoma" w:eastAsia="MS Mincho" w:hAnsi="Tahoma" w:cs="Tahoma"/>
          <w:b/>
        </w:rPr>
        <w:t xml:space="preserve"> </w:t>
      </w:r>
      <w:r>
        <w:rPr>
          <w:rFonts w:ascii="Tahoma" w:eastAsia="MS Mincho" w:hAnsi="Tahoma" w:cs="Tahoma"/>
        </w:rPr>
        <w:t xml:space="preserve">created an </w:t>
      </w:r>
      <w:r w:rsidRPr="00F836E9">
        <w:rPr>
          <w:rFonts w:ascii="Tahoma" w:eastAsia="MS Mincho" w:hAnsi="Tahoma" w:cs="Tahoma"/>
        </w:rPr>
        <w:t xml:space="preserve">association </w:t>
      </w:r>
      <w:r>
        <w:rPr>
          <w:rFonts w:ascii="Tahoma" w:eastAsia="MS Mincho" w:hAnsi="Tahoma" w:cs="Tahoma"/>
        </w:rPr>
        <w:t>called Amis</w:t>
      </w:r>
      <w:r w:rsidRPr="00F836E9">
        <w:rPr>
          <w:rFonts w:ascii="Tahoma" w:eastAsia="MS Mincho" w:hAnsi="Tahoma" w:cs="Tahoma"/>
        </w:rPr>
        <w:t xml:space="preserve"> (</w:t>
      </w:r>
      <w:r w:rsidRPr="00F836E9">
        <w:rPr>
          <w:rFonts w:ascii="Tahoma" w:eastAsia="MS Mincho" w:hAnsi="Tahoma" w:cs="Tahoma"/>
          <w:i/>
        </w:rPr>
        <w:t>friend</w:t>
      </w:r>
      <w:r w:rsidRPr="00F836E9">
        <w:rPr>
          <w:rFonts w:ascii="Tahoma" w:eastAsia="MS Mincho" w:hAnsi="Tahoma" w:cs="Tahoma"/>
        </w:rPr>
        <w:t xml:space="preserve">) </w:t>
      </w:r>
      <w:r>
        <w:rPr>
          <w:rFonts w:ascii="Tahoma" w:eastAsia="MS Mincho" w:hAnsi="Tahoma" w:cs="Tahoma"/>
        </w:rPr>
        <w:t xml:space="preserve">focusing </w:t>
      </w:r>
      <w:r w:rsidRPr="00F836E9">
        <w:rPr>
          <w:rFonts w:ascii="Tahoma" w:eastAsia="MS Mincho" w:hAnsi="Tahoma" w:cs="Tahoma"/>
        </w:rPr>
        <w:t>on education, informati</w:t>
      </w:r>
      <w:r>
        <w:rPr>
          <w:rFonts w:ascii="Tahoma" w:eastAsia="MS Mincho" w:hAnsi="Tahoma" w:cs="Tahoma"/>
        </w:rPr>
        <w:t>on and sensitis</w:t>
      </w:r>
      <w:r w:rsidRPr="00F836E9">
        <w:rPr>
          <w:rFonts w:ascii="Tahoma" w:eastAsia="MS Mincho" w:hAnsi="Tahoma" w:cs="Tahoma"/>
        </w:rPr>
        <w:t xml:space="preserve">ation of young people on gender, gender violence, sexual and reproductive health. Led by an active young teacher, </w:t>
      </w:r>
      <w:r>
        <w:rPr>
          <w:rFonts w:ascii="Tahoma" w:eastAsia="MS Mincho" w:hAnsi="Tahoma" w:cs="Tahoma"/>
        </w:rPr>
        <w:t>w</w:t>
      </w:r>
      <w:r w:rsidRPr="00F836E9">
        <w:rPr>
          <w:rFonts w:ascii="Tahoma" w:eastAsia="MS Mincho" w:hAnsi="Tahoma" w:cs="Tahoma"/>
        </w:rPr>
        <w:t xml:space="preserve">ith the support of local health centres, they visited the 15 hamlets of the council to </w:t>
      </w:r>
      <w:r>
        <w:rPr>
          <w:rFonts w:ascii="Tahoma" w:eastAsia="MS Mincho" w:hAnsi="Tahoma" w:cs="Tahoma"/>
        </w:rPr>
        <w:t xml:space="preserve">offer </w:t>
      </w:r>
      <w:r w:rsidRPr="00F836E9">
        <w:rPr>
          <w:rFonts w:ascii="Tahoma" w:eastAsia="MS Mincho" w:hAnsi="Tahoma" w:cs="Tahoma"/>
        </w:rPr>
        <w:t xml:space="preserve">free HIV testing and medical consultation. </w:t>
      </w:r>
      <w:r>
        <w:rPr>
          <w:rFonts w:ascii="Tahoma" w:eastAsia="MS Mincho" w:hAnsi="Tahoma" w:cs="Tahoma"/>
        </w:rPr>
        <w:t>This led to spirited campaigns during the Sixteen Days of Activism on SRHR; periodic sensitis</w:t>
      </w:r>
      <w:r w:rsidRPr="00F836E9">
        <w:rPr>
          <w:rFonts w:ascii="Tahoma" w:eastAsia="MS Mincho" w:hAnsi="Tahoma" w:cs="Tahoma"/>
        </w:rPr>
        <w:t>ation campaigns in schools</w:t>
      </w:r>
      <w:r>
        <w:rPr>
          <w:rFonts w:ascii="Tahoma" w:eastAsia="MS Mincho" w:hAnsi="Tahoma" w:cs="Tahoma"/>
        </w:rPr>
        <w:t>.</w:t>
      </w:r>
      <w:r w:rsidRPr="00F836E9">
        <w:rPr>
          <w:rFonts w:ascii="Tahoma" w:eastAsia="MS Mincho" w:hAnsi="Tahoma" w:cs="Tahoma"/>
        </w:rPr>
        <w:t xml:space="preserve"> </w:t>
      </w:r>
      <w:r>
        <w:rPr>
          <w:rFonts w:ascii="Tahoma" w:eastAsia="MS Mincho" w:hAnsi="Tahoma" w:cs="Tahoma"/>
        </w:rPr>
        <w:t>I</w:t>
      </w:r>
      <w:r w:rsidRPr="00F836E9">
        <w:rPr>
          <w:rFonts w:ascii="Tahoma" w:eastAsia="MS Mincho" w:hAnsi="Tahoma" w:cs="Tahoma"/>
        </w:rPr>
        <w:t xml:space="preserve">n 2014, the association </w:t>
      </w:r>
      <w:r>
        <w:rPr>
          <w:rFonts w:ascii="Tahoma" w:eastAsia="MS Mincho" w:hAnsi="Tahoma" w:cs="Tahoma"/>
        </w:rPr>
        <w:t xml:space="preserve">teamed up with </w:t>
      </w:r>
      <w:r w:rsidRPr="00F836E9">
        <w:rPr>
          <w:rFonts w:ascii="Tahoma" w:eastAsia="MS Mincho" w:hAnsi="Tahoma" w:cs="Tahoma"/>
        </w:rPr>
        <w:t xml:space="preserve">the Ministry of Health and UN agencies </w:t>
      </w:r>
      <w:r>
        <w:rPr>
          <w:rFonts w:ascii="Tahoma" w:eastAsia="MS Mincho" w:hAnsi="Tahoma" w:cs="Tahoma"/>
        </w:rPr>
        <w:t xml:space="preserve">to launch </w:t>
      </w:r>
      <w:r w:rsidRPr="00F836E9">
        <w:rPr>
          <w:rFonts w:ascii="Tahoma" w:eastAsia="MS Mincho" w:hAnsi="Tahoma" w:cs="Tahoma"/>
        </w:rPr>
        <w:t>“</w:t>
      </w:r>
      <w:proofErr w:type="spellStart"/>
      <w:r w:rsidRPr="00F836E9">
        <w:rPr>
          <w:rFonts w:ascii="Tahoma" w:eastAsia="MS Mincho" w:hAnsi="Tahoma" w:cs="Tahoma"/>
        </w:rPr>
        <w:t>Allo</w:t>
      </w:r>
      <w:proofErr w:type="spellEnd"/>
      <w:r w:rsidRPr="00F836E9">
        <w:rPr>
          <w:rFonts w:ascii="Tahoma" w:eastAsia="MS Mincho" w:hAnsi="Tahoma" w:cs="Tahoma"/>
        </w:rPr>
        <w:t xml:space="preserve"> </w:t>
      </w:r>
      <w:proofErr w:type="spellStart"/>
      <w:r w:rsidRPr="00F836E9">
        <w:rPr>
          <w:rFonts w:ascii="Tahoma" w:eastAsia="MS Mincho" w:hAnsi="Tahoma" w:cs="Tahoma"/>
        </w:rPr>
        <w:t>Fanantenana</w:t>
      </w:r>
      <w:proofErr w:type="spellEnd"/>
      <w:r w:rsidRPr="00F836E9">
        <w:rPr>
          <w:rFonts w:ascii="Tahoma" w:eastAsia="MS Mincho" w:hAnsi="Tahoma" w:cs="Tahoma"/>
        </w:rPr>
        <w:t xml:space="preserve">”, free phoning, in which young </w:t>
      </w:r>
      <w:r>
        <w:rPr>
          <w:rFonts w:ascii="Tahoma" w:eastAsia="MS Mincho" w:hAnsi="Tahoma" w:cs="Tahoma"/>
        </w:rPr>
        <w:t>people can get free counselling and</w:t>
      </w:r>
      <w:r w:rsidRPr="00F836E9">
        <w:rPr>
          <w:rFonts w:ascii="Tahoma" w:eastAsia="MS Mincho" w:hAnsi="Tahoma" w:cs="Tahoma"/>
        </w:rPr>
        <w:t xml:space="preserve"> information that it is free, </w:t>
      </w:r>
      <w:r>
        <w:rPr>
          <w:rFonts w:ascii="Tahoma" w:eastAsia="MS Mincho" w:hAnsi="Tahoma" w:cs="Tahoma"/>
        </w:rPr>
        <w:t>easy to access and confidential, often provided by peers.</w:t>
      </w:r>
      <w:r w:rsidRPr="00F836E9">
        <w:rPr>
          <w:rFonts w:ascii="Tahoma" w:eastAsia="MS Mincho" w:hAnsi="Tahoma" w:cs="Tahoma"/>
        </w:rPr>
        <w:t xml:space="preserve"> </w:t>
      </w:r>
      <w:r>
        <w:rPr>
          <w:rFonts w:ascii="Tahoma" w:eastAsia="MS Mincho" w:hAnsi="Tahoma" w:cs="Tahoma"/>
        </w:rPr>
        <w:t xml:space="preserve">The youth have created </w:t>
      </w:r>
      <w:r w:rsidRPr="00F836E9">
        <w:rPr>
          <w:rFonts w:ascii="Tahoma" w:eastAsia="MS Mincho" w:hAnsi="Tahoma" w:cs="Tahoma"/>
        </w:rPr>
        <w:t>radio drama</w:t>
      </w:r>
      <w:r>
        <w:rPr>
          <w:rFonts w:ascii="Tahoma" w:eastAsia="MS Mincho" w:hAnsi="Tahoma" w:cs="Tahoma"/>
        </w:rPr>
        <w:t>s conveying</w:t>
      </w:r>
      <w:r w:rsidRPr="00F836E9">
        <w:rPr>
          <w:rFonts w:ascii="Tahoma" w:eastAsia="MS Mincho" w:hAnsi="Tahoma" w:cs="Tahoma"/>
        </w:rPr>
        <w:t xml:space="preserve"> messages </w:t>
      </w:r>
      <w:r>
        <w:rPr>
          <w:rFonts w:ascii="Tahoma" w:eastAsia="MS Mincho" w:hAnsi="Tahoma" w:cs="Tahoma"/>
        </w:rPr>
        <w:t xml:space="preserve">on </w:t>
      </w:r>
      <w:r w:rsidRPr="00F836E9">
        <w:rPr>
          <w:rFonts w:ascii="Tahoma" w:eastAsia="MS Mincho" w:hAnsi="Tahoma" w:cs="Tahoma"/>
        </w:rPr>
        <w:t xml:space="preserve">gender </w:t>
      </w:r>
      <w:r>
        <w:rPr>
          <w:rFonts w:ascii="Tahoma" w:eastAsia="MS Mincho" w:hAnsi="Tahoma" w:cs="Tahoma"/>
          <w:noProof/>
          <w:lang w:eastAsia="en-GB"/>
        </w:rPr>
        <w:drawing>
          <wp:anchor distT="0" distB="0" distL="114300" distR="114300" simplePos="0" relativeHeight="251678720" behindDoc="0" locked="0" layoutInCell="1" allowOverlap="1" wp14:anchorId="43C9B366" wp14:editId="2BF435E2">
            <wp:simplePos x="0" y="0"/>
            <wp:positionH relativeFrom="column">
              <wp:posOffset>3771900</wp:posOffset>
            </wp:positionH>
            <wp:positionV relativeFrom="paragraph">
              <wp:posOffset>1747520</wp:posOffset>
            </wp:positionV>
            <wp:extent cx="1955165" cy="1543050"/>
            <wp:effectExtent l="0" t="0" r="6985" b="0"/>
            <wp:wrapSquare wrapText="bothSides"/>
            <wp:docPr id="18" name="Picture 18" descr="C:\Users\Colleen\Music\Pictures\Cas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Music\Pictures\Case stud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1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E9">
        <w:rPr>
          <w:rFonts w:ascii="Tahoma" w:eastAsia="MS Mincho" w:hAnsi="Tahoma" w:cs="Tahoma"/>
        </w:rPr>
        <w:t>equality gender violence</w:t>
      </w:r>
      <w:r>
        <w:rPr>
          <w:rFonts w:ascii="Tahoma" w:eastAsia="MS Mincho" w:hAnsi="Tahoma" w:cs="Tahoma"/>
        </w:rPr>
        <w:t xml:space="preserve">, SRHR breaking the </w:t>
      </w:r>
      <w:r w:rsidRPr="00F836E9">
        <w:rPr>
          <w:rFonts w:ascii="Tahoma" w:eastAsia="MS Mincho" w:hAnsi="Tahoma" w:cs="Tahoma"/>
        </w:rPr>
        <w:t>taboo</w:t>
      </w:r>
      <w:r>
        <w:rPr>
          <w:rFonts w:ascii="Tahoma" w:eastAsia="MS Mincho" w:hAnsi="Tahoma" w:cs="Tahoma"/>
        </w:rPr>
        <w:t>s on these topics</w:t>
      </w:r>
      <w:r w:rsidRPr="00F836E9">
        <w:rPr>
          <w:rFonts w:ascii="Tahoma" w:eastAsia="MS Mincho" w:hAnsi="Tahoma" w:cs="Tahoma"/>
        </w:rPr>
        <w:t xml:space="preserve"> in </w:t>
      </w:r>
      <w:r>
        <w:rPr>
          <w:rFonts w:ascii="Tahoma" w:eastAsia="MS Mincho" w:hAnsi="Tahoma" w:cs="Tahoma"/>
        </w:rPr>
        <w:t>the community.</w:t>
      </w:r>
      <w:r w:rsidRPr="00F836E9">
        <w:rPr>
          <w:rFonts w:ascii="Tahoma" w:eastAsia="MS Mincho" w:hAnsi="Tahoma" w:cs="Tahoma"/>
        </w:rPr>
        <w:t xml:space="preserve"> Thanks to the association’s activities, the council included strategies for young people in the develop</w:t>
      </w:r>
      <w:r>
        <w:rPr>
          <w:rFonts w:ascii="Tahoma" w:eastAsia="MS Mincho" w:hAnsi="Tahoma" w:cs="Tahoma"/>
        </w:rPr>
        <w:t xml:space="preserve">ment action plan of the council, which won the runner up award for Madagascar in the SRHR category in the 2015 SADC </w:t>
      </w:r>
      <w:proofErr w:type="spellStart"/>
      <w:r>
        <w:rPr>
          <w:rFonts w:ascii="Tahoma" w:eastAsia="MS Mincho" w:hAnsi="Tahoma" w:cs="Tahoma"/>
        </w:rPr>
        <w:t>Protcol@Work</w:t>
      </w:r>
      <w:proofErr w:type="spellEnd"/>
      <w:r>
        <w:rPr>
          <w:rFonts w:ascii="Tahoma" w:eastAsia="MS Mincho" w:hAnsi="Tahoma" w:cs="Tahoma"/>
        </w:rPr>
        <w:t xml:space="preserve"> summit in Madagascar, where the mayor received the award.    </w:t>
      </w:r>
      <w:r w:rsidRPr="00F836E9">
        <w:rPr>
          <w:rFonts w:ascii="Tahoma" w:eastAsia="MS Mincho" w:hAnsi="Tahoma" w:cs="Tahoma"/>
        </w:rPr>
        <w:t xml:space="preserve"> </w:t>
      </w:r>
    </w:p>
    <w:p w:rsidR="00E67D5A" w:rsidRPr="00B54676" w:rsidRDefault="00E67D5A" w:rsidP="00E67D5A">
      <w:pPr>
        <w:jc w:val="both"/>
        <w:rPr>
          <w:rFonts w:ascii="Tahoma" w:eastAsia="Calibri" w:hAnsi="Tahoma" w:cs="Tahoma"/>
        </w:rPr>
      </w:pPr>
      <w:r>
        <w:rPr>
          <w:rFonts w:ascii="Tahoma" w:eastAsia="Calibri" w:hAnsi="Tahoma" w:cs="Tahoma"/>
          <w:b/>
          <w:i/>
        </w:rPr>
        <w:t>Laws, policies and regulations:</w:t>
      </w:r>
      <w:r w:rsidRPr="00B54676">
        <w:rPr>
          <w:rFonts w:ascii="Tahoma" w:eastAsia="Calibri" w:hAnsi="Tahoma" w:cs="Tahoma"/>
          <w:b/>
          <w:i/>
        </w:rPr>
        <w:t xml:space="preserve"> </w:t>
      </w:r>
      <w:r>
        <w:rPr>
          <w:rFonts w:ascii="Tahoma" w:eastAsia="Calibri" w:hAnsi="Tahoma" w:cs="Tahoma"/>
        </w:rPr>
        <w:t xml:space="preserve">Seven percent of the case studies concerned changes in laws, policies and regulations on SRHR. Six SADC countries now have SRHR laws. The Alliance is campaigning for SRHR policies in the other nine - </w:t>
      </w:r>
    </w:p>
    <w:p w:rsidR="00E67D5A" w:rsidRPr="00B54676" w:rsidRDefault="00E67D5A" w:rsidP="00E67D5A">
      <w:pPr>
        <w:spacing w:after="0" w:line="240" w:lineRule="auto"/>
        <w:jc w:val="both"/>
        <w:rPr>
          <w:rFonts w:ascii="Tahoma" w:eastAsia="Calibri" w:hAnsi="Tahoma" w:cs="Tahoma"/>
          <w:i/>
        </w:rPr>
      </w:pPr>
      <w:r w:rsidRPr="00B54676">
        <w:rPr>
          <w:rFonts w:ascii="Calibri" w:eastAsia="Calibri" w:hAnsi="Calibri" w:cs="Tahoma"/>
          <w:noProof/>
          <w:sz w:val="24"/>
          <w:lang w:eastAsia="en-GB"/>
        </w:rPr>
        <w:drawing>
          <wp:anchor distT="0" distB="0" distL="114300" distR="114300" simplePos="0" relativeHeight="251673600" behindDoc="0" locked="0" layoutInCell="1" allowOverlap="1" wp14:anchorId="52C3F32C" wp14:editId="4254B12E">
            <wp:simplePos x="0" y="0"/>
            <wp:positionH relativeFrom="column">
              <wp:posOffset>4219575</wp:posOffset>
            </wp:positionH>
            <wp:positionV relativeFrom="paragraph">
              <wp:posOffset>73025</wp:posOffset>
            </wp:positionV>
            <wp:extent cx="1683385" cy="1952625"/>
            <wp:effectExtent l="0" t="0" r="0" b="9525"/>
            <wp:wrapSquare wrapText="bothSides"/>
            <wp:docPr id="20" name="Picture 20" descr="http://preditor.genderlinks.org.za/assets/pages/images/02539_resized_10647_thumbnail_baro201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ditor.genderlinks.org.za/assets/pages/images/02539_resized_10647_thumbnail_baro2015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33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676">
        <w:rPr>
          <w:rFonts w:ascii="Tahoma" w:eastAsia="Calibri" w:hAnsi="Tahoma" w:cs="Tahoma"/>
          <w:b/>
          <w:i/>
        </w:rPr>
        <w:t>Innovation</w:t>
      </w:r>
      <w:r>
        <w:rPr>
          <w:rFonts w:ascii="Tahoma" w:eastAsia="Calibri" w:hAnsi="Tahoma" w:cs="Tahoma"/>
          <w:b/>
          <w:i/>
        </w:rPr>
        <w:t xml:space="preserve">: changing regional and global SRHR standards from the bottom up: </w:t>
      </w:r>
      <w:r>
        <w:rPr>
          <w:rFonts w:ascii="Tahoma" w:eastAsia="Calibri" w:hAnsi="Tahoma" w:cs="Tahoma"/>
        </w:rPr>
        <w:t xml:space="preserve">GL used the 2015 case studies to make the case in the 2015 Barometer for stronger language on SRHR in the post 2015 SADC Gender Protocol and through the Women’s Major Group, in the SDGs. The draft post 2015 Protocol, to be adopted by Heads of State in August 2015, has a specific section on SRHR, and adopts SDG, Beijing Plus Twenty and </w:t>
      </w:r>
      <w:proofErr w:type="spellStart"/>
      <w:r>
        <w:rPr>
          <w:rFonts w:ascii="Tahoma" w:eastAsia="Calibri" w:hAnsi="Tahoma" w:cs="Tahoma"/>
        </w:rPr>
        <w:t>IPDC</w:t>
      </w:r>
      <w:proofErr w:type="spellEnd"/>
      <w:r>
        <w:rPr>
          <w:rFonts w:ascii="Tahoma" w:eastAsia="Calibri" w:hAnsi="Tahoma" w:cs="Tahoma"/>
        </w:rPr>
        <w:t xml:space="preserve"> standards for its Post 2015 Monitoring, Evaluation and Results Framework.   </w:t>
      </w:r>
      <w:r w:rsidRPr="00B54676">
        <w:rPr>
          <w:rFonts w:ascii="Tahoma" w:eastAsia="Calibri" w:hAnsi="Tahoma" w:cs="Tahoma"/>
          <w:b/>
          <w:i/>
        </w:rPr>
        <w:t xml:space="preserve"> </w:t>
      </w:r>
    </w:p>
    <w:p w:rsidR="00E67D5A" w:rsidRPr="00B54676" w:rsidRDefault="00E67D5A" w:rsidP="00E67D5A">
      <w:pPr>
        <w:spacing w:after="0" w:line="240" w:lineRule="auto"/>
        <w:jc w:val="both"/>
        <w:rPr>
          <w:rFonts w:ascii="Tahoma" w:eastAsia="Calibri" w:hAnsi="Tahoma" w:cs="Tahoma"/>
          <w:lang w:eastAsia="en-ZA"/>
        </w:rPr>
      </w:pPr>
      <w:r w:rsidRPr="00B54676">
        <w:rPr>
          <w:rFonts w:ascii="Tahoma" w:eastAsia="Calibri" w:hAnsi="Tahoma" w:cs="Tahoma"/>
          <w:lang w:eastAsia="en-ZA"/>
        </w:rPr>
        <w:lastRenderedPageBreak/>
        <w:t xml:space="preserve"> </w:t>
      </w:r>
    </w:p>
    <w:p w:rsidR="00E67D5A" w:rsidRDefault="00E67D5A" w:rsidP="00E67D5A">
      <w:pPr>
        <w:spacing w:after="0" w:line="240" w:lineRule="auto"/>
        <w:jc w:val="both"/>
        <w:rPr>
          <w:rFonts w:ascii="Tahoma" w:eastAsia="Calibri" w:hAnsi="Tahoma" w:cs="Tahoma"/>
          <w:b/>
          <w:i/>
        </w:rPr>
      </w:pPr>
    </w:p>
    <w:p w:rsidR="00E67D5A" w:rsidRPr="004E142C" w:rsidRDefault="00E67D5A" w:rsidP="00E67D5A">
      <w:pPr>
        <w:spacing w:after="0" w:line="240" w:lineRule="auto"/>
        <w:jc w:val="both"/>
        <w:rPr>
          <w:rFonts w:ascii="Tahoma" w:eastAsia="Calibri" w:hAnsi="Tahoma" w:cs="Tahoma"/>
        </w:rPr>
      </w:pPr>
      <w:r w:rsidRPr="004E142C">
        <w:rPr>
          <w:rFonts w:ascii="Tahoma" w:eastAsia="Calibri" w:hAnsi="Tahoma" w:cs="Tahoma"/>
          <w:b/>
          <w:i/>
        </w:rPr>
        <w:t xml:space="preserve">Transparency and accountability: </w:t>
      </w:r>
      <w:r>
        <w:rPr>
          <w:rFonts w:ascii="Tahoma" w:eastAsia="Calibri" w:hAnsi="Tahoma" w:cs="Tahoma"/>
        </w:rPr>
        <w:t xml:space="preserve">Summits allow for all work and challenges to be shared and debated. The case studies are housed on the website and in Barometers. They feedback into campaigns led by the target groups.  </w:t>
      </w:r>
    </w:p>
    <w:p w:rsidR="00E67D5A" w:rsidRDefault="00E67D5A" w:rsidP="00E67D5A">
      <w:pPr>
        <w:spacing w:after="0" w:line="240" w:lineRule="auto"/>
        <w:jc w:val="both"/>
        <w:rPr>
          <w:rFonts w:ascii="Tahoma" w:eastAsia="Calibri" w:hAnsi="Tahoma" w:cs="Tahoma"/>
          <w:b/>
        </w:rPr>
      </w:pPr>
    </w:p>
    <w:p w:rsidR="00E67D5A" w:rsidRPr="00B54676" w:rsidRDefault="00E67D5A" w:rsidP="00E67D5A">
      <w:pPr>
        <w:spacing w:after="0" w:line="240" w:lineRule="auto"/>
        <w:jc w:val="both"/>
        <w:rPr>
          <w:rFonts w:ascii="Tahoma" w:eastAsia="Calibri" w:hAnsi="Tahoma" w:cs="Tahoma"/>
          <w:b/>
        </w:rPr>
      </w:pPr>
      <w:r w:rsidRPr="00B54676">
        <w:rPr>
          <w:rFonts w:ascii="Tahoma" w:eastAsia="Calibri" w:hAnsi="Tahoma" w:cs="Tahoma"/>
          <w:b/>
        </w:rPr>
        <w:t xml:space="preserve">Challenges </w:t>
      </w:r>
    </w:p>
    <w:p w:rsidR="00E67D5A" w:rsidRPr="00B54676" w:rsidRDefault="00E67D5A" w:rsidP="00E67D5A">
      <w:pPr>
        <w:spacing w:after="100" w:afterAutospacing="1" w:line="259" w:lineRule="auto"/>
        <w:jc w:val="both"/>
        <w:rPr>
          <w:rFonts w:ascii="Tahoma" w:eastAsia="Times New Roman" w:hAnsi="Tahoma" w:cs="Tahoma"/>
          <w:lang w:eastAsia="en-GB"/>
        </w:rPr>
      </w:pPr>
      <w:r>
        <w:rPr>
          <w:rFonts w:ascii="Tahoma" w:eastAsia="Times New Roman" w:hAnsi="Tahoma" w:cs="Tahoma"/>
          <w:lang w:eastAsia="en-GB"/>
        </w:rPr>
        <w:t xml:space="preserve">As reflected in the 2015 Barometer, only three countries have decriminalised sexual orientation; only South Africa allows choice of termination of pregnancy and no SADC country has decriminalised sex work. Custom, culture and religion remain strong influences on the ground, rolling back progress, especially on work with the three target groups.   </w:t>
      </w:r>
      <w:r w:rsidRPr="00B54676">
        <w:rPr>
          <w:rFonts w:ascii="Tahoma" w:eastAsia="Times New Roman" w:hAnsi="Tahoma" w:cs="Tahoma"/>
          <w:lang w:eastAsia="en-GB"/>
        </w:rPr>
        <w:t xml:space="preserve"> </w:t>
      </w:r>
    </w:p>
    <w:p w:rsidR="00E67D5A" w:rsidRDefault="00E67D5A" w:rsidP="00E67D5A">
      <w:pPr>
        <w:spacing w:after="0"/>
        <w:rPr>
          <w:rFonts w:ascii="Tahoma" w:hAnsi="Tahoma" w:cs="Tahoma"/>
          <w:b/>
        </w:rPr>
      </w:pPr>
      <w:r w:rsidRPr="00202AFC">
        <w:rPr>
          <w:rFonts w:ascii="Tahoma" w:hAnsi="Tahoma" w:cs="Tahoma"/>
          <w:b/>
        </w:rPr>
        <w:t xml:space="preserve">Lessons learned </w:t>
      </w:r>
      <w:r>
        <w:rPr>
          <w:rFonts w:ascii="Tahoma" w:hAnsi="Tahoma" w:cs="Tahoma"/>
          <w:b/>
        </w:rPr>
        <w:t>and next steps</w:t>
      </w:r>
    </w:p>
    <w:p w:rsidR="00E67D5A" w:rsidRDefault="00E67D5A" w:rsidP="00E67D5A">
      <w:pPr>
        <w:spacing w:after="0"/>
        <w:jc w:val="both"/>
        <w:rPr>
          <w:rFonts w:ascii="Tahoma" w:hAnsi="Tahoma" w:cs="Tahoma"/>
        </w:rPr>
      </w:pPr>
      <w:r w:rsidRPr="00305540">
        <w:rPr>
          <w:rFonts w:ascii="Tahoma" w:hAnsi="Tahoma" w:cs="Tahoma"/>
        </w:rPr>
        <w:t>GL has learned to be tactful, diplomatic and incremental in prising open the envelope on SRHR. Work on GBV, HIV and AIDS at the local level has opened the door to other sensitive SRHR issues; for example GL has conducted a pilot project</w:t>
      </w:r>
      <w:r>
        <w:rPr>
          <w:rFonts w:ascii="Tahoma" w:hAnsi="Tahoma" w:cs="Tahoma"/>
        </w:rPr>
        <w:t xml:space="preserve"> </w:t>
      </w:r>
      <w:r w:rsidRPr="00305540">
        <w:rPr>
          <w:rFonts w:ascii="Tahoma" w:hAnsi="Tahoma" w:cs="Tahoma"/>
        </w:rPr>
        <w:t xml:space="preserve">on </w:t>
      </w:r>
      <w:proofErr w:type="spellStart"/>
      <w:r w:rsidRPr="00305540">
        <w:rPr>
          <w:rFonts w:ascii="Tahoma" w:hAnsi="Tahoma" w:cs="Tahoma"/>
        </w:rPr>
        <w:t>LGBTI</w:t>
      </w:r>
      <w:proofErr w:type="spellEnd"/>
      <w:r w:rsidRPr="00305540">
        <w:rPr>
          <w:rFonts w:ascii="Tahoma" w:hAnsi="Tahoma" w:cs="Tahoma"/>
        </w:rPr>
        <w:t xml:space="preserve"> attitudes with councils in Namibia. GL has become adept at using local pressure to strengthen regional provisions and vice versa. Councils are ready to take on new challenges around flagship SRHR programmes focusing on youth and key populations.  </w:t>
      </w:r>
    </w:p>
    <w:p w:rsidR="00E67D5A" w:rsidRPr="00305540" w:rsidRDefault="00E67D5A" w:rsidP="00E67D5A">
      <w:pPr>
        <w:spacing w:after="0"/>
        <w:jc w:val="both"/>
        <w:rPr>
          <w:rFonts w:ascii="Tahoma" w:hAnsi="Tahoma" w:cs="Tahoma"/>
        </w:rPr>
      </w:pPr>
    </w:p>
    <w:p w:rsidR="003F2879" w:rsidRDefault="003F2879">
      <w:pPr>
        <w:rPr>
          <w:rFonts w:ascii="Tahoma" w:hAnsi="Tahoma" w:cs="Tahoma"/>
          <w:b/>
        </w:rPr>
      </w:pPr>
      <w:r>
        <w:rPr>
          <w:rFonts w:ascii="Tahoma" w:hAnsi="Tahoma" w:cs="Tahoma"/>
          <w:b/>
        </w:rPr>
        <w:br w:type="page"/>
      </w:r>
    </w:p>
    <w:p w:rsidR="003F2879" w:rsidRPr="00CE4443" w:rsidRDefault="003F2879" w:rsidP="003F2879">
      <w:pPr>
        <w:spacing w:after="0" w:line="240" w:lineRule="auto"/>
        <w:jc w:val="center"/>
        <w:rPr>
          <w:rFonts w:ascii="Tahoma" w:eastAsia="Times New Roman" w:hAnsi="Tahoma" w:cs="Tahoma"/>
          <w:b/>
          <w:lang w:eastAsia="en-GB"/>
        </w:rPr>
      </w:pPr>
      <w:proofErr w:type="gramStart"/>
      <w:r w:rsidRPr="00CE4443">
        <w:rPr>
          <w:rFonts w:ascii="Tahoma" w:eastAsia="Times New Roman" w:hAnsi="Tahoma" w:cs="Tahoma"/>
          <w:b/>
          <w:lang w:eastAsia="en-GB"/>
        </w:rPr>
        <w:lastRenderedPageBreak/>
        <w:t>dots</w:t>
      </w:r>
      <w:proofErr w:type="gramEnd"/>
      <w:r w:rsidRPr="00CE4443">
        <w:rPr>
          <w:rFonts w:ascii="Tahoma" w:eastAsia="Times New Roman" w:hAnsi="Tahoma" w:cs="Tahoma"/>
          <w:b/>
          <w:lang w:eastAsia="en-GB"/>
        </w:rPr>
        <w:t xml:space="preserve"> on SRHR in Southern Africa</w:t>
      </w:r>
    </w:p>
    <w:p w:rsidR="003F2879" w:rsidRPr="00DC67E0" w:rsidRDefault="003F2879" w:rsidP="003F2879">
      <w:pPr>
        <w:spacing w:after="0" w:line="240" w:lineRule="auto"/>
        <w:jc w:val="center"/>
        <w:rPr>
          <w:rFonts w:ascii="Tahoma" w:eastAsia="Times New Roman" w:hAnsi="Tahoma" w:cs="Tahoma"/>
          <w:b/>
          <w:lang w:eastAsia="en-GB"/>
        </w:rPr>
      </w:pPr>
      <w:r w:rsidRPr="00DC67E0">
        <w:rPr>
          <w:rFonts w:ascii="Tahoma" w:eastAsia="Times New Roman" w:hAnsi="Tahoma" w:cs="Tahoma"/>
          <w:b/>
          <w:lang w:eastAsia="en-GB"/>
        </w:rPr>
        <w:t>Gender Links Case Study</w:t>
      </w:r>
    </w:p>
    <w:p w:rsidR="003F2879" w:rsidRPr="00DC67E0" w:rsidRDefault="003F2879" w:rsidP="003F2879">
      <w:pPr>
        <w:spacing w:after="0" w:line="240" w:lineRule="auto"/>
        <w:jc w:val="center"/>
        <w:rPr>
          <w:rFonts w:ascii="Tahoma" w:eastAsia="Times New Roman" w:hAnsi="Tahoma" w:cs="Tahoma"/>
          <w:b/>
          <w:lang w:eastAsia="en-GB"/>
        </w:rPr>
      </w:pPr>
    </w:p>
    <w:p w:rsidR="003F2879" w:rsidRPr="0057256C" w:rsidRDefault="003F2879" w:rsidP="003F2879">
      <w:pPr>
        <w:spacing w:after="0" w:line="240" w:lineRule="auto"/>
        <w:jc w:val="both"/>
        <w:rPr>
          <w:rFonts w:ascii="Tahoma" w:eastAsia="Times New Roman" w:hAnsi="Tahoma" w:cs="Tahoma"/>
          <w:lang w:eastAsia="en-GB"/>
        </w:rPr>
      </w:pPr>
      <w:r w:rsidRPr="00DC67E0">
        <w:rPr>
          <w:rFonts w:ascii="Tahoma" w:eastAsia="Times New Roman" w:hAnsi="Tahoma" w:cs="Tahoma"/>
          <w:noProof/>
          <w:lang w:eastAsia="en-GB"/>
        </w:rPr>
        <mc:AlternateContent>
          <mc:Choice Requires="wps">
            <w:drawing>
              <wp:anchor distT="0" distB="0" distL="114300" distR="114300" simplePos="0" relativeHeight="251680768" behindDoc="0" locked="0" layoutInCell="1" allowOverlap="1" wp14:anchorId="4C81F463" wp14:editId="30895A40">
                <wp:simplePos x="0" y="0"/>
                <wp:positionH relativeFrom="column">
                  <wp:posOffset>-10160</wp:posOffset>
                </wp:positionH>
                <wp:positionV relativeFrom="paragraph">
                  <wp:posOffset>26670</wp:posOffset>
                </wp:positionV>
                <wp:extent cx="3000375" cy="2209800"/>
                <wp:effectExtent l="0" t="0" r="28575" b="19050"/>
                <wp:wrapSquare wrapText="bothSides"/>
                <wp:docPr id="23" name="Text Box 23"/>
                <wp:cNvGraphicFramePr/>
                <a:graphic xmlns:a="http://schemas.openxmlformats.org/drawingml/2006/main">
                  <a:graphicData uri="http://schemas.microsoft.com/office/word/2010/wordprocessingShape">
                    <wps:wsp>
                      <wps:cNvSpPr txBox="1"/>
                      <wps:spPr>
                        <a:xfrm>
                          <a:off x="0" y="0"/>
                          <a:ext cx="3000375" cy="2209800"/>
                        </a:xfrm>
                        <a:prstGeom prst="rect">
                          <a:avLst/>
                        </a:prstGeom>
                        <a:solidFill>
                          <a:sysClr val="window" lastClr="FFFFFF"/>
                        </a:solidFill>
                        <a:ln w="6350">
                          <a:solidFill>
                            <a:prstClr val="black"/>
                          </a:solidFill>
                        </a:ln>
                        <a:effectLst/>
                      </wps:spPr>
                      <wps:txbx>
                        <w:txbxContent>
                          <w:p w:rsidR="003F2879" w:rsidRDefault="003F2879" w:rsidP="003F2879">
                            <w:pPr>
                              <w:keepNext/>
                            </w:pPr>
                            <w:r>
                              <w:rPr>
                                <w:noProof/>
                                <w:lang w:eastAsia="en-GB"/>
                              </w:rPr>
                              <w:drawing>
                                <wp:inline distT="0" distB="0" distL="0" distR="0" wp14:anchorId="313AE7C3" wp14:editId="3BD9F609">
                                  <wp:extent cx="2847975" cy="21363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3F2879" w:rsidRDefault="003F2879" w:rsidP="003F2879">
                            <w:pPr>
                              <w:pStyle w:val="Caption"/>
                              <w:jc w:val="both"/>
                            </w:pPr>
                            <w:r>
                              <w:t xml:space="preserve">Figure </w:t>
                            </w:r>
                            <w:r>
                              <w:fldChar w:fldCharType="begin"/>
                            </w:r>
                            <w:r>
                              <w:instrText xml:space="preserve"> SEQ Figure \* ARABIC </w:instrText>
                            </w:r>
                            <w:r>
                              <w:fldChar w:fldCharType="separate"/>
                            </w:r>
                            <w:r>
                              <w:rPr>
                                <w:noProof/>
                              </w:rPr>
                              <w:t>1</w:t>
                            </w:r>
                            <w:r>
                              <w:rPr>
                                <w:noProof/>
                              </w:rPr>
                              <w:fldChar w:fldCharType="end"/>
                            </w:r>
                          </w:p>
                          <w:p w:rsidR="003F2879" w:rsidRDefault="003F2879" w:rsidP="003F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8pt;margin-top:2.1pt;width:236.25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" fillcolor="window" strokeweight=".5pt">
                <v:textbox>
                  <w:txbxContent>
                    <w:p w:rsidR="003F2879" w:rsidRDefault="003F2879" w:rsidP="003F2879">
                      <w:pPr>
                        <w:keepNext/>
                      </w:pPr>
                      <w:r>
                        <w:rPr>
                          <w:noProof/>
                          <w:lang w:eastAsia="en-GB"/>
                        </w:rPr>
                        <w:drawing>
                          <wp:inline distT="0" distB="0" distL="0" distR="0" wp14:anchorId="313AE7C3" wp14:editId="3BD9F609">
                            <wp:extent cx="2847975" cy="21363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3F2879" w:rsidRDefault="003F2879" w:rsidP="003F2879">
                      <w:pPr>
                        <w:pStyle w:val="Caption"/>
                        <w:jc w:val="both"/>
                      </w:pPr>
                      <w:r>
                        <w:t xml:space="preserve">Figure </w:t>
                      </w:r>
                      <w:r>
                        <w:fldChar w:fldCharType="begin"/>
                      </w:r>
                      <w:r>
                        <w:instrText xml:space="preserve"> SEQ Figure \* ARABIC </w:instrText>
                      </w:r>
                      <w:r>
                        <w:fldChar w:fldCharType="separate"/>
                      </w:r>
                      <w:r>
                        <w:rPr>
                          <w:noProof/>
                        </w:rPr>
                        <w:t>1</w:t>
                      </w:r>
                      <w:r>
                        <w:rPr>
                          <w:noProof/>
                        </w:rPr>
                        <w:fldChar w:fldCharType="end"/>
                      </w:r>
                    </w:p>
                    <w:p w:rsidR="003F2879" w:rsidRDefault="003F2879" w:rsidP="003F2879"/>
                  </w:txbxContent>
                </v:textbox>
                <w10:wrap type="square"/>
              </v:shape>
            </w:pict>
          </mc:Fallback>
        </mc:AlternateContent>
      </w:r>
      <w:r w:rsidRPr="00DC67E0">
        <w:rPr>
          <w:rFonts w:ascii="Tahoma" w:eastAsia="Times New Roman" w:hAnsi="Tahoma" w:cs="Tahoma"/>
          <w:lang w:eastAsia="en-GB"/>
        </w:rPr>
        <w:t>This case study demonstrates the unique way in which Gender Links</w:t>
      </w:r>
      <w:r>
        <w:rPr>
          <w:rFonts w:ascii="Tahoma" w:eastAsia="Times New Roman" w:hAnsi="Tahoma" w:cs="Tahoma"/>
          <w:lang w:eastAsia="en-GB"/>
        </w:rPr>
        <w:t xml:space="preserve"> (GL)</w:t>
      </w:r>
      <w:r w:rsidRPr="00DC67E0">
        <w:rPr>
          <w:rFonts w:ascii="Tahoma" w:eastAsia="Times New Roman" w:hAnsi="Tahoma" w:cs="Tahoma"/>
          <w:lang w:eastAsia="en-GB"/>
        </w:rPr>
        <w:t xml:space="preserve">, the lead agency in this consortium, is driving the campaign for SRHR from local to regional level through its work with 425 Councils in ten Southern African Development Community (SADC) countries. GL and 40 NGOs in the Southern African Gender Protocol Alliance campaigned for </w:t>
      </w:r>
      <w:r>
        <w:rPr>
          <w:rFonts w:ascii="Tahoma" w:eastAsia="Times New Roman" w:hAnsi="Tahoma" w:cs="Tahoma"/>
          <w:lang w:eastAsia="en-GB"/>
        </w:rPr>
        <w:t xml:space="preserve">the SADC Gender Protocol, a </w:t>
      </w:r>
      <w:r w:rsidRPr="00DC67E0">
        <w:rPr>
          <w:rFonts w:ascii="Tahoma" w:eastAsia="Times New Roman" w:hAnsi="Tahoma" w:cs="Tahoma"/>
          <w:lang w:eastAsia="en-GB"/>
        </w:rPr>
        <w:t xml:space="preserve">unique sub-regional instrument that brings together African and global commitments to gender equality. Working with gender </w:t>
      </w:r>
      <w:r>
        <w:rPr>
          <w:rFonts w:ascii="Tahoma" w:eastAsia="Times New Roman" w:hAnsi="Tahoma" w:cs="Tahoma"/>
          <w:lang w:eastAsia="en-GB"/>
        </w:rPr>
        <w:t>and local government ministries</w:t>
      </w:r>
      <w:r w:rsidRPr="00DC67E0">
        <w:rPr>
          <w:rFonts w:ascii="Tahoma" w:eastAsia="Times New Roman" w:hAnsi="Tahoma" w:cs="Tahoma"/>
          <w:lang w:eastAsia="en-GB"/>
        </w:rPr>
        <w:t xml:space="preserve"> GL cascades these targets to the local level through its Centres of Excellence for Gender in Local Government</w:t>
      </w:r>
      <w:r>
        <w:rPr>
          <w:rFonts w:ascii="Tahoma" w:eastAsia="Times New Roman" w:hAnsi="Tahoma" w:cs="Tahoma"/>
          <w:lang w:eastAsia="en-GB"/>
        </w:rPr>
        <w:t>. Over the last five</w:t>
      </w:r>
      <w:r w:rsidRPr="00DC67E0">
        <w:rPr>
          <w:rFonts w:ascii="Tahoma" w:eastAsia="Times New Roman" w:hAnsi="Tahoma" w:cs="Tahoma"/>
          <w:lang w:eastAsia="en-GB"/>
        </w:rPr>
        <w:t xml:space="preserve"> years, partners have shared over 2000 case studies of the SADC Protocol@Work in 26 </w:t>
      </w:r>
      <w:proofErr w:type="gramStart"/>
      <w:r w:rsidRPr="00DC67E0">
        <w:rPr>
          <w:rFonts w:ascii="Tahoma" w:eastAsia="Times New Roman" w:hAnsi="Tahoma" w:cs="Tahoma"/>
          <w:lang w:eastAsia="en-GB"/>
        </w:rPr>
        <w:t>district</w:t>
      </w:r>
      <w:proofErr w:type="gramEnd"/>
      <w:r w:rsidRPr="00DC67E0">
        <w:rPr>
          <w:rFonts w:ascii="Tahoma" w:eastAsia="Times New Roman" w:hAnsi="Tahoma" w:cs="Tahoma"/>
          <w:lang w:eastAsia="en-GB"/>
        </w:rPr>
        <w:t>, 36 national and eight regional summits.</w:t>
      </w:r>
      <w:r>
        <w:rPr>
          <w:rFonts w:ascii="Tahoma" w:eastAsia="Times New Roman" w:hAnsi="Tahoma" w:cs="Tahoma"/>
          <w:lang w:eastAsia="en-GB"/>
        </w:rPr>
        <w:t xml:space="preserve"> While GL is not directly involved in implementation, the case studies reflect the extent to which gender policies and advocacy create an enabling environment for action on the ground with multiplier effects well beyond what one middle size Women’s Rights Organisation could achieve.  </w:t>
      </w:r>
      <w:r w:rsidRPr="0057256C">
        <w:rPr>
          <w:rFonts w:ascii="Tahoma" w:eastAsia="Times New Roman" w:hAnsi="Tahoma" w:cs="Tahoma"/>
          <w:lang w:eastAsia="en-GB"/>
        </w:rPr>
        <w:t xml:space="preserve">GL’s </w:t>
      </w:r>
      <w:r>
        <w:rPr>
          <w:rFonts w:ascii="Tahoma" w:eastAsia="Times New Roman" w:hAnsi="Tahoma" w:cs="Tahoma"/>
          <w:lang w:eastAsia="en-GB"/>
        </w:rPr>
        <w:t xml:space="preserve">catalytic impact </w:t>
      </w:r>
      <w:r w:rsidRPr="0057256C">
        <w:rPr>
          <w:rFonts w:ascii="Tahoma" w:eastAsia="Times New Roman" w:hAnsi="Tahoma" w:cs="Tahoma"/>
          <w:lang w:eastAsia="en-GB"/>
        </w:rPr>
        <w:t xml:space="preserve">has been </w:t>
      </w:r>
      <w:r>
        <w:rPr>
          <w:rFonts w:ascii="Tahoma" w:eastAsia="Times New Roman" w:hAnsi="Tahoma" w:cs="Tahoma"/>
          <w:lang w:eastAsia="en-GB"/>
        </w:rPr>
        <w:t xml:space="preserve">independently </w:t>
      </w:r>
      <w:r w:rsidRPr="0057256C">
        <w:rPr>
          <w:rFonts w:ascii="Tahoma" w:eastAsia="Times New Roman" w:hAnsi="Tahoma" w:cs="Tahoma"/>
          <w:lang w:eastAsia="en-GB"/>
        </w:rPr>
        <w:t xml:space="preserve">evaluated and commended by Coffey, a London-based development consultancy, as one of twelve case studies </w:t>
      </w:r>
      <w:r>
        <w:rPr>
          <w:rFonts w:ascii="Tahoma" w:eastAsia="Times New Roman" w:hAnsi="Tahoma" w:cs="Tahoma"/>
          <w:lang w:eastAsia="en-GB"/>
        </w:rPr>
        <w:t>in the</w:t>
      </w:r>
      <w:r w:rsidRPr="0057256C">
        <w:rPr>
          <w:rFonts w:ascii="Tahoma" w:eastAsia="Times New Roman" w:hAnsi="Tahoma" w:cs="Tahoma"/>
          <w:lang w:eastAsia="en-GB"/>
        </w:rPr>
        <w:t xml:space="preserve"> DFID Programme Partnership Arrangement</w:t>
      </w:r>
      <w:r>
        <w:rPr>
          <w:rFonts w:ascii="Tahoma" w:eastAsia="Times New Roman" w:hAnsi="Tahoma" w:cs="Tahoma"/>
          <w:lang w:eastAsia="en-GB"/>
        </w:rPr>
        <w:t xml:space="preserve"> (</w:t>
      </w:r>
      <w:proofErr w:type="spellStart"/>
      <w:r>
        <w:rPr>
          <w:rFonts w:ascii="Tahoma" w:eastAsia="Times New Roman" w:hAnsi="Tahoma" w:cs="Tahoma"/>
          <w:lang w:eastAsia="en-GB"/>
        </w:rPr>
        <w:t>PPA</w:t>
      </w:r>
      <w:proofErr w:type="spellEnd"/>
      <w:r>
        <w:rPr>
          <w:rFonts w:ascii="Tahoma" w:eastAsia="Times New Roman" w:hAnsi="Tahoma" w:cs="Tahoma"/>
          <w:lang w:eastAsia="en-GB"/>
        </w:rPr>
        <w:t xml:space="preserve">) in which GL is the only Southern based grantee (see graphic at </w:t>
      </w:r>
      <w:r w:rsidRPr="006E6E53">
        <w:rPr>
          <w:rFonts w:ascii="Tahoma" w:eastAsia="Times New Roman" w:hAnsi="Tahoma" w:cs="Tahoma"/>
          <w:i/>
          <w:lang w:eastAsia="en-GB"/>
        </w:rPr>
        <w:t>Annex 1</w:t>
      </w:r>
      <w:r w:rsidRPr="0057256C">
        <w:rPr>
          <w:rFonts w:ascii="Tahoma" w:eastAsia="Times New Roman" w:hAnsi="Tahoma" w:cs="Tahoma"/>
          <w:lang w:eastAsia="en-GB"/>
        </w:rPr>
        <w:t xml:space="preserve">).  </w:t>
      </w:r>
    </w:p>
    <w:p w:rsidR="003F2879" w:rsidRPr="0057256C" w:rsidRDefault="003F2879" w:rsidP="003F2879">
      <w:pPr>
        <w:spacing w:after="0" w:line="240" w:lineRule="auto"/>
        <w:jc w:val="both"/>
        <w:rPr>
          <w:rFonts w:ascii="Tahoma" w:eastAsia="Times New Roman" w:hAnsi="Tahoma" w:cs="Tahoma"/>
          <w:b/>
          <w:lang w:eastAsia="en-GB"/>
        </w:rPr>
      </w:pPr>
    </w:p>
    <w:p w:rsidR="003F2879" w:rsidRPr="0057256C" w:rsidRDefault="003F2879" w:rsidP="003F2879">
      <w:pPr>
        <w:spacing w:after="0" w:line="240" w:lineRule="auto"/>
        <w:rPr>
          <w:rFonts w:ascii="Tahoma" w:eastAsia="Times New Roman" w:hAnsi="Tahoma" w:cs="Tahoma"/>
          <w:b/>
          <w:lang w:eastAsia="en-GB"/>
        </w:rPr>
      </w:pPr>
      <w:r w:rsidRPr="0057256C">
        <w:rPr>
          <w:rFonts w:ascii="Tahoma" w:eastAsia="Times New Roman" w:hAnsi="Tahoma" w:cs="Tahoma"/>
          <w:noProof/>
          <w:lang w:eastAsia="en-GB"/>
        </w:rPr>
        <w:drawing>
          <wp:anchor distT="0" distB="0" distL="114300" distR="114300" simplePos="0" relativeHeight="251681792" behindDoc="1" locked="0" layoutInCell="1" allowOverlap="1" wp14:anchorId="20580C63" wp14:editId="6CE00236">
            <wp:simplePos x="0" y="0"/>
            <wp:positionH relativeFrom="column">
              <wp:posOffset>-285750</wp:posOffset>
            </wp:positionH>
            <wp:positionV relativeFrom="paragraph">
              <wp:posOffset>115570</wp:posOffset>
            </wp:positionV>
            <wp:extent cx="4533900" cy="3238500"/>
            <wp:effectExtent l="0" t="57150" r="0" b="9525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3F2879" w:rsidRPr="0057256C" w:rsidRDefault="003F2879" w:rsidP="003F2879">
      <w:pPr>
        <w:spacing w:after="0" w:line="240" w:lineRule="auto"/>
        <w:jc w:val="both"/>
        <w:rPr>
          <w:rFonts w:ascii="Tahoma" w:eastAsia="Calibri" w:hAnsi="Tahoma" w:cs="Tahoma"/>
          <w:b/>
          <w:i/>
          <w:sz w:val="24"/>
        </w:rPr>
      </w:pPr>
      <w:r w:rsidRPr="0057256C">
        <w:rPr>
          <w:rFonts w:ascii="Tahoma" w:eastAsia="Times New Roman" w:hAnsi="Tahoma" w:cs="Tahoma"/>
          <w:lang w:eastAsia="en-GB"/>
        </w:rPr>
        <w:t>In 2015, as part of the campaign to update the SADC Gender Protocol in line with the Sustainable Development Goals</w:t>
      </w:r>
      <w:r>
        <w:rPr>
          <w:rFonts w:ascii="Tahoma" w:eastAsia="Times New Roman" w:hAnsi="Tahoma" w:cs="Tahoma"/>
          <w:lang w:eastAsia="en-GB"/>
        </w:rPr>
        <w:t xml:space="preserve"> (SDGs)</w:t>
      </w:r>
      <w:r w:rsidRPr="0057256C">
        <w:rPr>
          <w:rFonts w:ascii="Tahoma" w:eastAsia="Times New Roman" w:hAnsi="Tahoma" w:cs="Tahoma"/>
          <w:lang w:eastAsia="en-GB"/>
        </w:rPr>
        <w:t xml:space="preserve">, the Alliance introduced SRHR as a </w:t>
      </w:r>
      <w:r>
        <w:rPr>
          <w:rFonts w:ascii="Tahoma" w:eastAsia="Times New Roman" w:hAnsi="Tahoma" w:cs="Tahoma"/>
          <w:lang w:eastAsia="en-GB"/>
        </w:rPr>
        <w:t xml:space="preserve">distinct category </w:t>
      </w:r>
      <w:r w:rsidRPr="0057256C">
        <w:rPr>
          <w:rFonts w:ascii="Tahoma" w:eastAsia="Times New Roman" w:hAnsi="Tahoma" w:cs="Tahoma"/>
          <w:lang w:eastAsia="en-GB"/>
        </w:rPr>
        <w:t xml:space="preserve">in the summits. This analysis of the 92 case studies shared </w:t>
      </w:r>
      <w:r>
        <w:rPr>
          <w:rFonts w:ascii="Tahoma" w:eastAsia="Times New Roman" w:hAnsi="Tahoma" w:cs="Tahoma"/>
          <w:lang w:eastAsia="en-GB"/>
        </w:rPr>
        <w:t xml:space="preserve">in this category in 2015 shows </w:t>
      </w:r>
      <w:r w:rsidRPr="0057256C">
        <w:rPr>
          <w:rFonts w:ascii="Tahoma" w:eastAsia="Times New Roman" w:hAnsi="Tahoma" w:cs="Tahoma"/>
          <w:lang w:eastAsia="en-GB"/>
        </w:rPr>
        <w:t xml:space="preserve">how, working through local government, GL is able to introduce sensitive subjects with a high degree of local ownership, as well as amplify these results through lobbying for stronger regional standard-setting. </w:t>
      </w:r>
    </w:p>
    <w:p w:rsidR="003F2879" w:rsidRPr="0057256C" w:rsidRDefault="003F2879" w:rsidP="003F2879">
      <w:pPr>
        <w:spacing w:after="0" w:line="240" w:lineRule="auto"/>
        <w:jc w:val="both"/>
        <w:rPr>
          <w:rFonts w:ascii="Tahoma" w:eastAsia="Calibri" w:hAnsi="Tahoma" w:cs="Tahoma"/>
          <w:b/>
          <w:i/>
          <w:sz w:val="24"/>
        </w:rPr>
      </w:pPr>
    </w:p>
    <w:p w:rsidR="003F2879" w:rsidRPr="0057256C" w:rsidRDefault="003F2879" w:rsidP="003F2879">
      <w:pPr>
        <w:spacing w:after="0" w:line="240" w:lineRule="auto"/>
        <w:jc w:val="both"/>
        <w:rPr>
          <w:rFonts w:ascii="Tahoma" w:eastAsia="Calibri" w:hAnsi="Tahoma" w:cs="Tahoma"/>
          <w:b/>
          <w:i/>
          <w:sz w:val="24"/>
        </w:rPr>
      </w:pPr>
      <w:r w:rsidRPr="0057256C">
        <w:rPr>
          <w:rFonts w:ascii="Tahoma" w:eastAsia="Calibri" w:hAnsi="Tahoma" w:cs="Tahoma"/>
          <w:noProof/>
          <w:lang w:eastAsia="en-GB"/>
        </w:rPr>
        <w:lastRenderedPageBreak/>
        <w:drawing>
          <wp:anchor distT="0" distB="0" distL="114300" distR="114300" simplePos="0" relativeHeight="251682816" behindDoc="0" locked="0" layoutInCell="1" allowOverlap="1" wp14:anchorId="68C1C00F" wp14:editId="6BF1F59C">
            <wp:simplePos x="0" y="0"/>
            <wp:positionH relativeFrom="column">
              <wp:posOffset>66675</wp:posOffset>
            </wp:positionH>
            <wp:positionV relativeFrom="paragraph">
              <wp:posOffset>0</wp:posOffset>
            </wp:positionV>
            <wp:extent cx="5295900" cy="3095625"/>
            <wp:effectExtent l="0" t="0" r="1905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3F2879" w:rsidRPr="0057256C"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Pr="0057256C" w:rsidRDefault="003F2879" w:rsidP="003F2879">
      <w:pPr>
        <w:spacing w:after="0" w:line="240" w:lineRule="auto"/>
        <w:jc w:val="both"/>
        <w:rPr>
          <w:rFonts w:ascii="Tahoma" w:eastAsia="Times New Roman" w:hAnsi="Tahoma" w:cs="Tahoma"/>
          <w:lang w:eastAsia="en-GB"/>
        </w:rPr>
      </w:pPr>
      <w:r w:rsidRPr="0057256C">
        <w:rPr>
          <w:rFonts w:ascii="Tahoma" w:eastAsia="Calibri" w:hAnsi="Tahoma" w:cs="Tahoma"/>
          <w:b/>
          <w:i/>
          <w:sz w:val="24"/>
        </w:rPr>
        <w:t xml:space="preserve">Expertise and comparative strength on SRHR and HIV/AIDS in SADC: </w:t>
      </w:r>
      <w:r w:rsidRPr="0057256C">
        <w:rPr>
          <w:rFonts w:ascii="Tahoma" w:eastAsia="Times New Roman" w:hAnsi="Tahoma" w:cs="Tahoma"/>
          <w:lang w:eastAsia="en-GB"/>
        </w:rPr>
        <w:t xml:space="preserve">Over the last nine years, GL has worked with 425 councils, covering 26% of the population of SADC, to develop gender action plans with flagship programmes on SRHR, HIV and AIDS, and GBV as part of the ten stage COE programme. The range of countries that presented case studies on the impact of their work on SRHR in 2015 (see graph) demonstrates GL’s regional reach, including in Lusophone and Francophone speaking countries. </w:t>
      </w:r>
    </w:p>
    <w:p w:rsidR="003F2879" w:rsidRPr="0057256C" w:rsidRDefault="003F2879" w:rsidP="003F2879">
      <w:pPr>
        <w:spacing w:after="0" w:line="240" w:lineRule="auto"/>
        <w:jc w:val="both"/>
        <w:rPr>
          <w:rFonts w:ascii="Tahoma" w:eastAsia="Calibri" w:hAnsi="Tahoma" w:cs="Tahoma"/>
          <w:sz w:val="24"/>
        </w:rPr>
      </w:pPr>
    </w:p>
    <w:p w:rsidR="003F2879" w:rsidRPr="0057256C" w:rsidRDefault="003F2879" w:rsidP="003F2879">
      <w:pPr>
        <w:spacing w:after="0" w:line="240" w:lineRule="auto"/>
        <w:jc w:val="both"/>
        <w:rPr>
          <w:rFonts w:ascii="Tahoma" w:eastAsia="Times New Roman" w:hAnsi="Tahoma" w:cs="Tahoma"/>
          <w:lang w:eastAsia="en-GB"/>
        </w:rPr>
      </w:pPr>
      <w:r w:rsidRPr="0057256C">
        <w:rPr>
          <w:rFonts w:ascii="Tahoma" w:eastAsia="Calibri" w:hAnsi="Tahoma" w:cs="Tahoma"/>
          <w:b/>
          <w:i/>
        </w:rPr>
        <w:t xml:space="preserve">Involving local partners and target groups in preparing, planning and implementing: </w:t>
      </w:r>
      <w:r w:rsidRPr="0057256C">
        <w:rPr>
          <w:rFonts w:ascii="Tahoma" w:eastAsia="Times New Roman" w:hAnsi="Tahoma" w:cs="Tahoma"/>
          <w:lang w:eastAsia="en-GB"/>
        </w:rPr>
        <w:t xml:space="preserve">GL </w:t>
      </w:r>
      <w:r>
        <w:rPr>
          <w:rFonts w:ascii="Tahoma" w:eastAsia="Times New Roman" w:hAnsi="Tahoma" w:cs="Tahoma"/>
          <w:lang w:eastAsia="en-GB"/>
        </w:rPr>
        <w:t xml:space="preserve">country </w:t>
      </w:r>
      <w:proofErr w:type="gramStart"/>
      <w:r>
        <w:rPr>
          <w:rFonts w:ascii="Tahoma" w:eastAsia="Times New Roman" w:hAnsi="Tahoma" w:cs="Tahoma"/>
          <w:lang w:eastAsia="en-GB"/>
        </w:rPr>
        <w:t xml:space="preserve">staff </w:t>
      </w:r>
      <w:r w:rsidRPr="0057256C">
        <w:rPr>
          <w:rFonts w:ascii="Tahoma" w:eastAsia="Times New Roman" w:hAnsi="Tahoma" w:cs="Tahoma"/>
          <w:lang w:eastAsia="en-GB"/>
        </w:rPr>
        <w:t>assist</w:t>
      </w:r>
      <w:proofErr w:type="gramEnd"/>
      <w:r w:rsidRPr="0057256C">
        <w:rPr>
          <w:rFonts w:ascii="Tahoma" w:eastAsia="Times New Roman" w:hAnsi="Tahoma" w:cs="Tahoma"/>
          <w:lang w:eastAsia="en-GB"/>
        </w:rPr>
        <w:t xml:space="preserve"> the councils with capacity building support in developing action plans. The councils then document progress on their different interventions. One of the questions concerns how they involve beneficiaries. Testimonial evidence is a crucial part of the entries. Progress is presented in a case study format that is shared at district summits. Winners go on to national and regional summits. </w:t>
      </w:r>
    </w:p>
    <w:p w:rsidR="003F2879" w:rsidRPr="0057256C" w:rsidRDefault="003F2879" w:rsidP="003F2879">
      <w:pPr>
        <w:spacing w:before="100" w:beforeAutospacing="1" w:after="100" w:afterAutospacing="1" w:line="240" w:lineRule="auto"/>
        <w:jc w:val="both"/>
        <w:rPr>
          <w:rFonts w:ascii="Tahoma" w:eastAsia="Calibri" w:hAnsi="Tahoma" w:cs="Tahoma"/>
        </w:rPr>
      </w:pPr>
      <w:r w:rsidRPr="0057256C">
        <w:rPr>
          <w:rFonts w:ascii="Tahoma" w:eastAsia="Calibri" w:hAnsi="Tahoma" w:cs="Tahoma"/>
          <w:noProof/>
          <w:lang w:eastAsia="en-GB"/>
        </w:rPr>
        <w:drawing>
          <wp:inline distT="0" distB="0" distL="0" distR="0" wp14:anchorId="3C684CAC" wp14:editId="085224A6">
            <wp:extent cx="5314950" cy="20669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2879" w:rsidRPr="0057256C" w:rsidRDefault="003F2879" w:rsidP="003F2879">
      <w:pPr>
        <w:spacing w:before="100" w:beforeAutospacing="1" w:after="100" w:afterAutospacing="1" w:line="240" w:lineRule="auto"/>
        <w:jc w:val="both"/>
        <w:rPr>
          <w:rFonts w:ascii="Tahoma" w:eastAsia="Calibri" w:hAnsi="Tahoma" w:cs="Tahoma"/>
        </w:rPr>
      </w:pPr>
      <w:r w:rsidRPr="0057256C">
        <w:rPr>
          <w:rFonts w:ascii="Tahoma" w:eastAsia="Calibri" w:hAnsi="Tahoma" w:cs="Tahoma"/>
          <w:b/>
          <w:i/>
        </w:rPr>
        <w:t>Working with national and international networks:</w:t>
      </w:r>
      <w:r w:rsidRPr="0057256C">
        <w:rPr>
          <w:rFonts w:ascii="Tahoma" w:eastAsia="Calibri" w:hAnsi="Tahoma" w:cs="Tahoma"/>
        </w:rPr>
        <w:t xml:space="preserve"> The analysis shows that while local government (27% of the case studies) is t</w:t>
      </w:r>
      <w:r>
        <w:rPr>
          <w:rFonts w:ascii="Tahoma" w:eastAsia="Calibri" w:hAnsi="Tahoma" w:cs="Tahoma"/>
        </w:rPr>
        <w:t>he focus</w:t>
      </w:r>
      <w:r w:rsidRPr="0057256C">
        <w:rPr>
          <w:rFonts w:ascii="Tahoma" w:eastAsia="Calibri" w:hAnsi="Tahoma" w:cs="Tahoma"/>
        </w:rPr>
        <w:t xml:space="preserve"> of the work, the SADC Protocol@Work summits galvanise several other partners: community and faith-based organisations, NGOs and government departments. Alliance focal networks in each country organise the national summit. The </w:t>
      </w:r>
      <w:r>
        <w:rPr>
          <w:rFonts w:ascii="Tahoma" w:eastAsia="Calibri" w:hAnsi="Tahoma" w:cs="Tahoma"/>
        </w:rPr>
        <w:t xml:space="preserve">Alliance </w:t>
      </w:r>
      <w:r w:rsidRPr="0057256C">
        <w:rPr>
          <w:rFonts w:ascii="Tahoma" w:eastAsia="Calibri" w:hAnsi="Tahoma" w:cs="Tahoma"/>
        </w:rPr>
        <w:t xml:space="preserve">regional theme clusters serve as independent judges. </w:t>
      </w:r>
      <w:r>
        <w:rPr>
          <w:rFonts w:ascii="Tahoma" w:eastAsia="Calibri" w:hAnsi="Tahoma" w:cs="Tahoma"/>
        </w:rPr>
        <w:t xml:space="preserve">GL shares its results through SADC, African, Commonwealth and UN networks. </w:t>
      </w:r>
      <w:r w:rsidRPr="0057256C">
        <w:rPr>
          <w:rFonts w:ascii="Tahoma" w:eastAsia="Calibri" w:hAnsi="Tahoma" w:cs="Tahoma"/>
        </w:rPr>
        <w:t xml:space="preserve"> </w:t>
      </w:r>
    </w:p>
    <w:p w:rsidR="003F2879" w:rsidRPr="0057256C" w:rsidRDefault="003F2879" w:rsidP="003F2879">
      <w:pPr>
        <w:spacing w:after="0" w:line="240" w:lineRule="auto"/>
        <w:jc w:val="both"/>
        <w:rPr>
          <w:rFonts w:ascii="Tahoma" w:eastAsia="Calibri" w:hAnsi="Tahoma" w:cs="Tahoma"/>
        </w:rPr>
      </w:pPr>
    </w:p>
    <w:p w:rsidR="003F2879" w:rsidRDefault="003F2879" w:rsidP="003F2879">
      <w:pPr>
        <w:jc w:val="both"/>
        <w:rPr>
          <w:rFonts w:ascii="Tahoma" w:eastAsia="Calibri" w:hAnsi="Tahoma" w:cs="Tahoma"/>
        </w:rPr>
      </w:pPr>
      <w:r>
        <w:rPr>
          <w:noProof/>
          <w:lang w:eastAsia="en-GB"/>
        </w:rPr>
        <w:drawing>
          <wp:anchor distT="0" distB="0" distL="114300" distR="114300" simplePos="0" relativeHeight="251685888" behindDoc="0" locked="0" layoutInCell="1" allowOverlap="1" wp14:anchorId="5254B6B1" wp14:editId="16F17B98">
            <wp:simplePos x="0" y="0"/>
            <wp:positionH relativeFrom="column">
              <wp:posOffset>0</wp:posOffset>
            </wp:positionH>
            <wp:positionV relativeFrom="paragraph">
              <wp:posOffset>287655</wp:posOffset>
            </wp:positionV>
            <wp:extent cx="3752850" cy="1933575"/>
            <wp:effectExtent l="0" t="0" r="19050" b="952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57256C">
        <w:rPr>
          <w:rFonts w:ascii="Tahoma" w:eastAsia="Calibri" w:hAnsi="Tahoma" w:cs="Tahoma"/>
          <w:b/>
          <w:i/>
        </w:rPr>
        <w:t xml:space="preserve">Covering all three target groups in the </w:t>
      </w:r>
      <w:proofErr w:type="spellStart"/>
      <w:r w:rsidRPr="0057256C">
        <w:rPr>
          <w:rFonts w:ascii="Tahoma" w:eastAsia="Calibri" w:hAnsi="Tahoma" w:cs="Tahoma"/>
          <w:b/>
          <w:i/>
        </w:rPr>
        <w:t>RNE</w:t>
      </w:r>
      <w:proofErr w:type="spellEnd"/>
      <w:r w:rsidRPr="0057256C">
        <w:rPr>
          <w:rFonts w:ascii="Tahoma" w:eastAsia="Calibri" w:hAnsi="Tahoma" w:cs="Tahoma"/>
          <w:b/>
          <w:i/>
        </w:rPr>
        <w:t xml:space="preserve"> call:</w:t>
      </w:r>
      <w:r w:rsidRPr="0057256C">
        <w:rPr>
          <w:rFonts w:ascii="Tahoma" w:eastAsia="Calibri" w:hAnsi="Tahoma" w:cs="Tahoma"/>
        </w:rPr>
        <w:t xml:space="preserve"> </w:t>
      </w:r>
      <w:r>
        <w:rPr>
          <w:rFonts w:ascii="Tahoma" w:eastAsia="Calibri" w:hAnsi="Tahoma" w:cs="Tahoma"/>
        </w:rPr>
        <w:t>T</w:t>
      </w:r>
      <w:r w:rsidRPr="0057256C">
        <w:rPr>
          <w:rFonts w:ascii="Tahoma" w:eastAsia="Calibri" w:hAnsi="Tahoma" w:cs="Tahoma"/>
        </w:rPr>
        <w:t>he analysis show</w:t>
      </w:r>
      <w:r>
        <w:rPr>
          <w:rFonts w:ascii="Tahoma" w:eastAsia="Calibri" w:hAnsi="Tahoma" w:cs="Tahoma"/>
        </w:rPr>
        <w:t>s</w:t>
      </w:r>
      <w:r w:rsidRPr="0057256C">
        <w:rPr>
          <w:rFonts w:ascii="Tahoma" w:eastAsia="Calibri" w:hAnsi="Tahoma" w:cs="Tahoma"/>
        </w:rPr>
        <w:t xml:space="preserve"> that while the majority of the SADC Protocol@Work case studies concerned women and men in general, they also focused on youth (26%),</w:t>
      </w:r>
      <w:r>
        <w:rPr>
          <w:rFonts w:ascii="Tahoma" w:eastAsia="Calibri" w:hAnsi="Tahoma" w:cs="Tahoma"/>
        </w:rPr>
        <w:t xml:space="preserve">and </w:t>
      </w:r>
      <w:r w:rsidRPr="0057256C">
        <w:rPr>
          <w:rFonts w:ascii="Tahoma" w:eastAsia="Calibri" w:hAnsi="Tahoma" w:cs="Tahoma"/>
        </w:rPr>
        <w:t>key populations (</w:t>
      </w:r>
      <w:r>
        <w:rPr>
          <w:rFonts w:ascii="Tahoma" w:eastAsia="Calibri" w:hAnsi="Tahoma" w:cs="Tahoma"/>
        </w:rPr>
        <w:t xml:space="preserve">12% of the case studies concerned </w:t>
      </w:r>
      <w:r w:rsidRPr="0057256C">
        <w:rPr>
          <w:rFonts w:ascii="Tahoma" w:eastAsia="Calibri" w:hAnsi="Tahoma" w:cs="Tahoma"/>
        </w:rPr>
        <w:t xml:space="preserve">sex workers, injecting drug users, </w:t>
      </w:r>
      <w:proofErr w:type="spellStart"/>
      <w:r w:rsidRPr="0057256C">
        <w:rPr>
          <w:rFonts w:ascii="Tahoma" w:eastAsia="Calibri" w:hAnsi="Tahoma" w:cs="Tahoma"/>
        </w:rPr>
        <w:t>LGBTI</w:t>
      </w:r>
      <w:proofErr w:type="spellEnd"/>
      <w:r w:rsidRPr="0057256C">
        <w:rPr>
          <w:rFonts w:ascii="Tahoma" w:eastAsia="Calibri" w:hAnsi="Tahoma" w:cs="Tahoma"/>
        </w:rPr>
        <w:t xml:space="preserve"> persons, persons with disabilities and prisoners</w:t>
      </w:r>
      <w:r>
        <w:rPr>
          <w:rFonts w:ascii="Tahoma" w:eastAsia="Calibri" w:hAnsi="Tahoma" w:cs="Tahoma"/>
        </w:rPr>
        <w:t>).</w:t>
      </w:r>
      <w:r w:rsidRPr="0057256C">
        <w:rPr>
          <w:rFonts w:ascii="Tahoma" w:eastAsia="Calibri" w:hAnsi="Tahoma" w:cs="Tahoma"/>
        </w:rPr>
        <w:t xml:space="preserve"> </w:t>
      </w:r>
    </w:p>
    <w:p w:rsidR="003F2879" w:rsidRPr="00C01F5F" w:rsidRDefault="003F2879" w:rsidP="003F2879">
      <w:pPr>
        <w:jc w:val="both"/>
        <w:rPr>
          <w:rFonts w:ascii="Tahoma" w:eastAsia="Calibri" w:hAnsi="Tahoma" w:cs="Tahoma"/>
          <w:lang w:val="en-US"/>
        </w:rPr>
      </w:pPr>
      <w:r>
        <w:rPr>
          <w:noProof/>
          <w:lang w:eastAsia="en-GB"/>
        </w:rPr>
        <w:drawing>
          <wp:anchor distT="0" distB="0" distL="114300" distR="114300" simplePos="0" relativeHeight="251686912" behindDoc="0" locked="0" layoutInCell="1" allowOverlap="1" wp14:anchorId="491F4126" wp14:editId="4F131ADB">
            <wp:simplePos x="0" y="0"/>
            <wp:positionH relativeFrom="column">
              <wp:posOffset>3119755</wp:posOffset>
            </wp:positionH>
            <wp:positionV relativeFrom="paragraph">
              <wp:posOffset>17780</wp:posOffset>
            </wp:positionV>
            <wp:extent cx="2839720" cy="1895475"/>
            <wp:effectExtent l="0" t="0" r="0" b="9525"/>
            <wp:wrapSquare wrapText="bothSides"/>
            <wp:docPr id="30" name="IFid2" descr="Media Workshop_16Days_SB_3011201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Media Workshop_16Days_SB_30112015 (11)"/>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97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5F">
        <w:rPr>
          <w:rFonts w:ascii="Tahoma" w:eastAsia="Calibri" w:hAnsi="Tahoma" w:cs="Tahoma"/>
        </w:rPr>
        <w:t xml:space="preserve">In Mauritius, for example, </w:t>
      </w:r>
      <w:r>
        <w:rPr>
          <w:rFonts w:ascii="Tahoma" w:eastAsia="Calibri" w:hAnsi="Tahoma" w:cs="Tahoma"/>
          <w:lang w:val="en-US"/>
        </w:rPr>
        <w:t>t</w:t>
      </w:r>
      <w:r w:rsidRPr="00C01F5F">
        <w:rPr>
          <w:rFonts w:ascii="Tahoma" w:eastAsia="Calibri" w:hAnsi="Tahoma" w:cs="Tahoma"/>
          <w:lang w:val="en-US"/>
        </w:rPr>
        <w:t xml:space="preserve">he </w:t>
      </w:r>
      <w:r>
        <w:rPr>
          <w:rFonts w:ascii="Tahoma" w:eastAsia="Calibri" w:hAnsi="Tahoma" w:cs="Tahoma"/>
          <w:lang w:val="en-US"/>
        </w:rPr>
        <w:t xml:space="preserve">Young Queer Alliance (depicted in the adjacent photo) presented its work with </w:t>
      </w:r>
      <w:r w:rsidRPr="00C01F5F">
        <w:rPr>
          <w:rFonts w:ascii="Tahoma" w:eastAsia="Calibri" w:hAnsi="Tahoma" w:cs="Tahoma"/>
          <w:lang w:val="en-US"/>
        </w:rPr>
        <w:t>15 – 29 year</w:t>
      </w:r>
      <w:r>
        <w:rPr>
          <w:rFonts w:ascii="Tahoma" w:eastAsia="Calibri" w:hAnsi="Tahoma" w:cs="Tahoma"/>
          <w:lang w:val="en-US"/>
        </w:rPr>
        <w:t xml:space="preserve"> olds on </w:t>
      </w:r>
      <w:r w:rsidRPr="00C01F5F">
        <w:rPr>
          <w:rFonts w:ascii="Tahoma" w:eastAsia="Calibri" w:hAnsi="Tahoma" w:cs="Tahoma"/>
          <w:lang w:val="en-US"/>
        </w:rPr>
        <w:t xml:space="preserve">actions </w:t>
      </w:r>
      <w:r>
        <w:rPr>
          <w:rFonts w:ascii="Tahoma" w:eastAsia="Calibri" w:hAnsi="Tahoma" w:cs="Tahoma"/>
          <w:lang w:val="en-US"/>
        </w:rPr>
        <w:t>to de-</w:t>
      </w:r>
      <w:proofErr w:type="spellStart"/>
      <w:r>
        <w:rPr>
          <w:rFonts w:ascii="Tahoma" w:eastAsia="Calibri" w:hAnsi="Tahoma" w:cs="Tahoma"/>
          <w:lang w:val="en-US"/>
        </w:rPr>
        <w:t>stigmatise</w:t>
      </w:r>
      <w:proofErr w:type="spellEnd"/>
      <w:r>
        <w:rPr>
          <w:rFonts w:ascii="Tahoma" w:eastAsia="Calibri" w:hAnsi="Tahoma" w:cs="Tahoma"/>
          <w:lang w:val="en-US"/>
        </w:rPr>
        <w:t xml:space="preserve"> </w:t>
      </w:r>
      <w:proofErr w:type="spellStart"/>
      <w:r>
        <w:rPr>
          <w:rFonts w:ascii="Tahoma" w:eastAsia="Calibri" w:hAnsi="Tahoma" w:cs="Tahoma"/>
          <w:lang w:val="en-US"/>
        </w:rPr>
        <w:t>LGBTI</w:t>
      </w:r>
      <w:proofErr w:type="spellEnd"/>
      <w:r>
        <w:rPr>
          <w:rFonts w:ascii="Tahoma" w:eastAsia="Calibri" w:hAnsi="Tahoma" w:cs="Tahoma"/>
          <w:lang w:val="en-US"/>
        </w:rPr>
        <w:t>, create support networks, and lobby for enabling legislation. One case study concerned councils working with truck drivers on HIV and AIDS.</w:t>
      </w:r>
    </w:p>
    <w:p w:rsidR="003F2879" w:rsidRPr="0057256C" w:rsidRDefault="003F2879" w:rsidP="003F2879">
      <w:pPr>
        <w:spacing w:after="0" w:line="240" w:lineRule="auto"/>
        <w:jc w:val="both"/>
        <w:rPr>
          <w:rFonts w:ascii="Tahoma" w:eastAsia="Calibri" w:hAnsi="Tahoma" w:cs="Tahoma"/>
          <w:lang w:eastAsia="en-ZA"/>
        </w:rPr>
      </w:pPr>
      <w:r w:rsidRPr="0057256C">
        <w:rPr>
          <w:rFonts w:ascii="Tahoma" w:eastAsia="Calibri" w:hAnsi="Tahoma" w:cs="Tahoma"/>
          <w:b/>
          <w:i/>
        </w:rPr>
        <w:t>Men as partners:</w:t>
      </w:r>
      <w:r>
        <w:rPr>
          <w:rFonts w:ascii="Tahoma" w:eastAsia="Calibri" w:hAnsi="Tahoma" w:cs="Tahoma"/>
        </w:rPr>
        <w:t xml:space="preserve"> 27</w:t>
      </w:r>
      <w:r w:rsidRPr="0057256C">
        <w:rPr>
          <w:rFonts w:ascii="Tahoma" w:eastAsia="Calibri" w:hAnsi="Tahoma" w:cs="Tahoma"/>
        </w:rPr>
        <w:t xml:space="preserve">% of the case studies focused on men as partners. For example, </w:t>
      </w:r>
      <w:r>
        <w:rPr>
          <w:rFonts w:ascii="Tahoma" w:eastAsia="Calibri" w:hAnsi="Tahoma" w:cs="Tahoma"/>
        </w:rPr>
        <w:t xml:space="preserve">case studies from </w:t>
      </w:r>
      <w:r w:rsidRPr="0057256C">
        <w:rPr>
          <w:rFonts w:ascii="Tahoma" w:eastAsia="Calibri" w:hAnsi="Tahoma" w:cs="Tahoma"/>
        </w:rPr>
        <w:t xml:space="preserve">Swaziland and South Africa </w:t>
      </w:r>
      <w:r>
        <w:rPr>
          <w:rFonts w:ascii="Tahoma" w:eastAsia="Calibri" w:hAnsi="Tahoma" w:cs="Tahoma"/>
        </w:rPr>
        <w:t xml:space="preserve">showed how </w:t>
      </w:r>
      <w:r w:rsidRPr="0057256C">
        <w:rPr>
          <w:rFonts w:ascii="Tahoma" w:eastAsia="Calibri" w:hAnsi="Tahoma" w:cs="Tahoma"/>
        </w:rPr>
        <w:t xml:space="preserve">men are coming together to demystify some of the </w:t>
      </w:r>
      <w:r>
        <w:rPr>
          <w:rFonts w:ascii="Tahoma" w:eastAsia="Calibri" w:hAnsi="Tahoma" w:cs="Tahoma"/>
        </w:rPr>
        <w:t>attributes, behaviours and myths</w:t>
      </w:r>
      <w:r w:rsidRPr="0057256C">
        <w:rPr>
          <w:rFonts w:ascii="Tahoma" w:eastAsia="Calibri" w:hAnsi="Tahoma" w:cs="Tahoma"/>
        </w:rPr>
        <w:t xml:space="preserve"> around masculinity. </w:t>
      </w:r>
      <w:r w:rsidRPr="0057256C">
        <w:rPr>
          <w:rFonts w:ascii="Tahoma" w:eastAsia="Calibri" w:hAnsi="Tahoma" w:cs="Tahoma"/>
          <w:lang w:eastAsia="en-ZA"/>
        </w:rPr>
        <w:t xml:space="preserve">Through dialogues and workshops men and boys work as partners with women to end violence and fight against the </w:t>
      </w:r>
      <w:r>
        <w:rPr>
          <w:rFonts w:ascii="Tahoma" w:eastAsia="Calibri" w:hAnsi="Tahoma" w:cs="Tahoma"/>
          <w:lang w:eastAsia="en-ZA"/>
        </w:rPr>
        <w:t xml:space="preserve">twin scourges of GBV, </w:t>
      </w:r>
      <w:r w:rsidRPr="0057256C">
        <w:rPr>
          <w:rFonts w:ascii="Tahoma" w:eastAsia="Calibri" w:hAnsi="Tahoma" w:cs="Tahoma"/>
          <w:lang w:eastAsia="en-ZA"/>
        </w:rPr>
        <w:t>HIV and AIDS</w:t>
      </w:r>
      <w:r>
        <w:rPr>
          <w:rFonts w:ascii="Tahoma" w:eastAsia="Calibri" w:hAnsi="Tahoma" w:cs="Tahoma"/>
          <w:lang w:eastAsia="en-ZA"/>
        </w:rPr>
        <w:t>.</w:t>
      </w:r>
      <w:r w:rsidRPr="0057256C">
        <w:rPr>
          <w:rFonts w:ascii="Tahoma" w:eastAsia="Calibri" w:hAnsi="Tahoma" w:cs="Tahoma"/>
          <w:lang w:eastAsia="en-ZA"/>
        </w:rPr>
        <w:t xml:space="preserve"> </w:t>
      </w:r>
    </w:p>
    <w:p w:rsidR="003F2879" w:rsidRPr="0057256C" w:rsidRDefault="003F2879" w:rsidP="003F2879">
      <w:pPr>
        <w:spacing w:after="0" w:line="240" w:lineRule="auto"/>
        <w:jc w:val="both"/>
        <w:rPr>
          <w:rFonts w:ascii="Tahoma" w:eastAsia="Calibri" w:hAnsi="Tahoma" w:cs="Tahoma"/>
        </w:rPr>
      </w:pPr>
    </w:p>
    <w:p w:rsidR="003F2879" w:rsidRPr="0057256C" w:rsidRDefault="003F2879" w:rsidP="003F2879">
      <w:pPr>
        <w:spacing w:after="0" w:line="240" w:lineRule="auto"/>
        <w:jc w:val="both"/>
        <w:rPr>
          <w:rFonts w:ascii="Tahoma" w:eastAsia="Calibri" w:hAnsi="Tahoma" w:cs="Tahoma"/>
          <w:b/>
        </w:rPr>
      </w:pPr>
      <w:r w:rsidRPr="0057256C">
        <w:rPr>
          <w:rFonts w:ascii="Tahoma" w:eastAsia="Calibri" w:hAnsi="Tahoma" w:cs="Tahoma"/>
          <w:b/>
        </w:rPr>
        <w:t xml:space="preserve">Results and effectiveness </w:t>
      </w:r>
    </w:p>
    <w:p w:rsidR="003F2879" w:rsidRPr="0057256C" w:rsidRDefault="003F2879" w:rsidP="003F2879">
      <w:pPr>
        <w:spacing w:after="0" w:line="240" w:lineRule="auto"/>
        <w:jc w:val="both"/>
        <w:rPr>
          <w:rFonts w:ascii="Tahoma" w:eastAsia="Calibri" w:hAnsi="Tahoma" w:cs="Tahoma"/>
          <w:b/>
        </w:rPr>
      </w:pPr>
    </w:p>
    <w:p w:rsidR="003F2879" w:rsidRPr="0057256C" w:rsidRDefault="003F2879" w:rsidP="003F2879">
      <w:pPr>
        <w:spacing w:after="0" w:line="240" w:lineRule="auto"/>
        <w:jc w:val="both"/>
        <w:rPr>
          <w:rFonts w:ascii="Tahoma" w:eastAsia="Calibri" w:hAnsi="Tahoma" w:cs="Tahoma"/>
          <w:b/>
        </w:rPr>
      </w:pPr>
      <w:r w:rsidRPr="0057256C">
        <w:rPr>
          <w:rFonts w:ascii="Tahoma" w:eastAsia="Calibri" w:hAnsi="Tahoma" w:cs="Tahoma"/>
          <w:noProof/>
          <w:lang w:eastAsia="en-GB"/>
        </w:rPr>
        <w:drawing>
          <wp:inline distT="0" distB="0" distL="0" distR="0" wp14:anchorId="2AFA2B69" wp14:editId="5A602B8B">
            <wp:extent cx="5381625" cy="26574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2879" w:rsidRDefault="003F2879" w:rsidP="003F2879">
      <w:pPr>
        <w:rPr>
          <w:rFonts w:ascii="Tahoma" w:eastAsia="Calibri" w:hAnsi="Tahoma" w:cs="Tahoma"/>
          <w:b/>
          <w:i/>
        </w:rPr>
      </w:pPr>
      <w:r>
        <w:rPr>
          <w:rFonts w:ascii="Tahoma" w:eastAsia="Calibri" w:hAnsi="Tahoma" w:cs="Tahoma"/>
          <w:b/>
          <w:i/>
        </w:rPr>
        <w:br w:type="page"/>
      </w:r>
    </w:p>
    <w:p w:rsidR="003F2879" w:rsidRPr="0057256C" w:rsidRDefault="003F2879" w:rsidP="003F2879">
      <w:pPr>
        <w:spacing w:after="0" w:line="240" w:lineRule="auto"/>
        <w:jc w:val="both"/>
        <w:rPr>
          <w:rFonts w:ascii="Tahoma" w:eastAsia="Calibri" w:hAnsi="Tahoma" w:cs="Tahoma"/>
          <w:b/>
          <w:i/>
        </w:rPr>
      </w:pPr>
      <w:r w:rsidRPr="008860EE">
        <w:rPr>
          <w:noProof/>
          <w:lang w:eastAsia="en-GB"/>
        </w:rPr>
        <w:lastRenderedPageBreak/>
        <w:drawing>
          <wp:anchor distT="0" distB="0" distL="114300" distR="114300" simplePos="0" relativeHeight="251687936" behindDoc="0" locked="0" layoutInCell="1" allowOverlap="1" wp14:anchorId="36734984" wp14:editId="7FD81482">
            <wp:simplePos x="0" y="0"/>
            <wp:positionH relativeFrom="column">
              <wp:posOffset>4542790</wp:posOffset>
            </wp:positionH>
            <wp:positionV relativeFrom="paragraph">
              <wp:posOffset>-26035</wp:posOffset>
            </wp:positionV>
            <wp:extent cx="1209675" cy="1205865"/>
            <wp:effectExtent l="0" t="0" r="9525" b="0"/>
            <wp:wrapSquare wrapText="bothSides"/>
            <wp:docPr id="32" name="Picture 32" descr="C:\Users\Sifiso Dube\AppData\Local\Microsoft\Windows\Temporary Internet Files\Content.Outlook\93RAKCOI\SADC BARO    2030 LOGOrgb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fiso Dube\AppData\Local\Microsoft\Windows\Temporary Internet Files\Content.Outlook\93RAKCOI\SADC BARO    2030 LOGOrgb (00000002).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20967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rPr>
        <w:t xml:space="preserve">SADC Protocol targets at work: </w:t>
      </w:r>
      <w:r w:rsidRPr="00B54676">
        <w:rPr>
          <w:rFonts w:ascii="Tahoma" w:eastAsia="Calibri" w:hAnsi="Tahoma" w:cs="Tahoma"/>
        </w:rPr>
        <w:t xml:space="preserve">15 of the existing 28 targets of the SADC Gender Protocol relate to SRHR. The graph shows how these are being put to work on the ground, with integrated approaches to ending GBV, universal access to HIV and </w:t>
      </w:r>
      <w:proofErr w:type="spellStart"/>
      <w:r w:rsidRPr="00B54676">
        <w:rPr>
          <w:rFonts w:ascii="Tahoma" w:eastAsia="Calibri" w:hAnsi="Tahoma" w:cs="Tahoma"/>
        </w:rPr>
        <w:t>AIDs</w:t>
      </w:r>
      <w:proofErr w:type="spellEnd"/>
      <w:r w:rsidRPr="00B54676">
        <w:rPr>
          <w:rFonts w:ascii="Tahoma" w:eastAsia="Calibri" w:hAnsi="Tahoma" w:cs="Tahoma"/>
        </w:rPr>
        <w:t xml:space="preserve"> treatment, </w:t>
      </w:r>
      <w:proofErr w:type="spellStart"/>
      <w:r w:rsidRPr="00B54676">
        <w:rPr>
          <w:rFonts w:ascii="Tahoma" w:eastAsia="Calibri" w:hAnsi="Tahoma" w:cs="Tahoma"/>
        </w:rPr>
        <w:t>SRH</w:t>
      </w:r>
      <w:proofErr w:type="spellEnd"/>
      <w:r w:rsidRPr="00B54676">
        <w:rPr>
          <w:rFonts w:ascii="Tahoma" w:eastAsia="Calibri" w:hAnsi="Tahoma" w:cs="Tahoma"/>
        </w:rPr>
        <w:t xml:space="preserve"> needs of women and men being the most referenced. </w:t>
      </w:r>
    </w:p>
    <w:p w:rsidR="003F2879" w:rsidRPr="00B54676" w:rsidRDefault="003F2879" w:rsidP="003F2879">
      <w:pPr>
        <w:spacing w:after="0" w:line="240" w:lineRule="auto"/>
        <w:jc w:val="both"/>
        <w:rPr>
          <w:rFonts w:ascii="Tahoma" w:eastAsia="Calibri" w:hAnsi="Tahoma" w:cs="Tahoma"/>
          <w:b/>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1F97AAFA" wp14:editId="1886F3F1">
            <wp:extent cx="4829175" cy="23336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noProof/>
          <w:lang w:eastAsia="en-GB"/>
        </w:rPr>
        <mc:AlternateContent>
          <mc:Choice Requires="wps">
            <w:drawing>
              <wp:anchor distT="0" distB="0" distL="114300" distR="114300" simplePos="0" relativeHeight="251684864" behindDoc="0" locked="0" layoutInCell="1" allowOverlap="1" wp14:anchorId="0C492418" wp14:editId="6CFA6164">
                <wp:simplePos x="0" y="0"/>
                <wp:positionH relativeFrom="column">
                  <wp:posOffset>4257675</wp:posOffset>
                </wp:positionH>
                <wp:positionV relativeFrom="paragraph">
                  <wp:posOffset>502920</wp:posOffset>
                </wp:positionV>
                <wp:extent cx="2152650" cy="300990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2152650" cy="3009900"/>
                        </a:xfrm>
                        <a:prstGeom prst="rect">
                          <a:avLst/>
                        </a:prstGeom>
                        <a:solidFill>
                          <a:sysClr val="window" lastClr="FFFFFF"/>
                        </a:solidFill>
                        <a:ln w="6350">
                          <a:solidFill>
                            <a:prstClr val="black"/>
                          </a:solidFill>
                        </a:ln>
                        <a:effectLst/>
                      </wps:spPr>
                      <wps:txbx>
                        <w:txbxContent>
                          <w:p w:rsidR="003F2879" w:rsidRDefault="003F2879" w:rsidP="003F2879">
                            <w:r>
                              <w:rPr>
                                <w:noProof/>
                                <w:lang w:eastAsia="en-GB"/>
                              </w:rPr>
                              <w:drawing>
                                <wp:inline distT="0" distB="0" distL="0" distR="0" wp14:anchorId="7F09FFA4" wp14:editId="3DA12B51">
                                  <wp:extent cx="1981200" cy="264185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335.25pt;margin-top:39.6pt;width:169.5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" fillcolor="window" strokeweight=".5pt">
                <v:textbox>
                  <w:txbxContent>
                    <w:p w:rsidR="003F2879" w:rsidRDefault="003F2879" w:rsidP="003F2879">
                      <w:r>
                        <w:rPr>
                          <w:noProof/>
                          <w:lang w:eastAsia="en-GB"/>
                        </w:rPr>
                        <w:drawing>
                          <wp:inline distT="0" distB="0" distL="0" distR="0" wp14:anchorId="7F09FFA4" wp14:editId="3DA12B51">
                            <wp:extent cx="1981200" cy="264185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v:textbox>
                <w10:wrap type="square"/>
              </v:shape>
            </w:pict>
          </mc:Fallback>
        </mc:AlternateContent>
      </w:r>
      <w:r w:rsidRPr="00B54676">
        <w:rPr>
          <w:rFonts w:ascii="Tahoma" w:eastAsia="Calibri" w:hAnsi="Tahoma" w:cs="Tahoma"/>
          <w:b/>
          <w:i/>
        </w:rPr>
        <w:t>Promoting rights:</w:t>
      </w:r>
      <w:r w:rsidRPr="00B54676">
        <w:rPr>
          <w:rFonts w:ascii="Tahoma" w:eastAsia="Calibri" w:hAnsi="Tahoma" w:cs="Tahoma"/>
        </w:rPr>
        <w:t xml:space="preserve"> The analysis shows that the case studies have a strong rights-based focus (freedom from violence; </w:t>
      </w:r>
      <w:proofErr w:type="spellStart"/>
      <w:r w:rsidRPr="00B54676">
        <w:rPr>
          <w:rFonts w:ascii="Tahoma" w:eastAsia="Calibri" w:hAnsi="Tahoma" w:cs="Tahoma"/>
        </w:rPr>
        <w:t>SRR</w:t>
      </w:r>
      <w:proofErr w:type="spellEnd"/>
      <w:r w:rsidRPr="00B54676">
        <w:rPr>
          <w:rFonts w:ascii="Tahoma" w:eastAsia="Calibri" w:hAnsi="Tahoma" w:cs="Tahoma"/>
        </w:rPr>
        <w:t>). Some of the more sensitive areas (sexual pleasure, abortion, and sexual freedom) are not as prominent; however the fact that they are featuring on local agendas is a positive sign.</w:t>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5C772DC4" wp14:editId="63239C61">
            <wp:extent cx="3796631" cy="236127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9555" cy="2369314"/>
                    </a:xfrm>
                    <a:prstGeom prst="rect">
                      <a:avLst/>
                    </a:prstGeom>
                    <a:noFill/>
                  </pic:spPr>
                </pic:pic>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rPr>
        <w:t>In a proactive way:</w:t>
      </w:r>
      <w:r w:rsidRPr="00B54676">
        <w:rPr>
          <w:rFonts w:ascii="Tahoma" w:eastAsia="Calibri" w:hAnsi="Tahoma" w:cs="Tahoma"/>
          <w:b/>
        </w:rPr>
        <w:t xml:space="preserve"> </w:t>
      </w:r>
      <w:r w:rsidRPr="00B54676">
        <w:rPr>
          <w:rFonts w:ascii="Tahoma" w:eastAsia="Calibri" w:hAnsi="Tahoma" w:cs="Tahoma"/>
        </w:rPr>
        <w:t>The largest proportion of interventions concerns support (36%) and prevention (33%) of GBV, and HIV and AIDS.  It is encouraging to see that these proactive and preventive approaches feature more prominently than the reactive ones (response, care and treatment).</w:t>
      </w:r>
      <w:r>
        <w:rPr>
          <w:rFonts w:ascii="Tahoma" w:eastAsia="Calibri" w:hAnsi="Tahoma" w:cs="Tahoma"/>
        </w:rPr>
        <w:t xml:space="preserve"> This is an important paradigm shift in the region, and one that opens space for more rights-based approaches. </w:t>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lastRenderedPageBreak/>
        <w:drawing>
          <wp:inline distT="0" distB="0" distL="0" distR="0" wp14:anchorId="68332FD2" wp14:editId="0EBE6B6D">
            <wp:extent cx="5229225" cy="218122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Default="003F2879" w:rsidP="003F2879">
      <w:pPr>
        <w:spacing w:after="0" w:line="240" w:lineRule="auto"/>
        <w:jc w:val="both"/>
        <w:rPr>
          <w:rFonts w:ascii="Tahoma" w:eastAsia="Calibri" w:hAnsi="Tahoma" w:cs="Tahoma"/>
        </w:rPr>
      </w:pPr>
      <w:r w:rsidRPr="00B54676">
        <w:rPr>
          <w:rFonts w:ascii="Tahoma" w:eastAsia="Calibri" w:hAnsi="Tahoma" w:cs="Tahoma"/>
          <w:b/>
          <w:i/>
        </w:rPr>
        <w:t>Changing attitudes and behaviour:</w:t>
      </w:r>
      <w:r w:rsidRPr="00B54676">
        <w:rPr>
          <w:rFonts w:ascii="Tahoma" w:eastAsia="Calibri" w:hAnsi="Tahoma" w:cs="Tahoma"/>
        </w:rPr>
        <w:t xml:space="preserve"> The most </w:t>
      </w:r>
      <w:r>
        <w:rPr>
          <w:rFonts w:ascii="Tahoma" w:eastAsia="Calibri" w:hAnsi="Tahoma" w:cs="Tahoma"/>
        </w:rPr>
        <w:t xml:space="preserve">reported </w:t>
      </w:r>
      <w:r w:rsidRPr="00B54676">
        <w:rPr>
          <w:rFonts w:ascii="Tahoma" w:eastAsia="Calibri" w:hAnsi="Tahoma" w:cs="Tahoma"/>
        </w:rPr>
        <w:t xml:space="preserve">change </w:t>
      </w:r>
      <w:r>
        <w:rPr>
          <w:rFonts w:ascii="Tahoma" w:eastAsia="Calibri" w:hAnsi="Tahoma" w:cs="Tahoma"/>
        </w:rPr>
        <w:t xml:space="preserve">in case studies analysed concerned greater </w:t>
      </w:r>
      <w:r w:rsidRPr="00B54676">
        <w:rPr>
          <w:rFonts w:ascii="Tahoma" w:eastAsia="Calibri" w:hAnsi="Tahoma" w:cs="Tahoma"/>
        </w:rPr>
        <w:t>public awareness</w:t>
      </w:r>
      <w:r>
        <w:rPr>
          <w:rFonts w:ascii="Tahoma" w:eastAsia="Calibri" w:hAnsi="Tahoma" w:cs="Tahoma"/>
        </w:rPr>
        <w:t xml:space="preserve"> (18%),</w:t>
      </w:r>
      <w:r w:rsidRPr="00B54676">
        <w:rPr>
          <w:rFonts w:ascii="Tahoma" w:eastAsia="Calibri" w:hAnsi="Tahoma" w:cs="Tahoma"/>
        </w:rPr>
        <w:t xml:space="preserve"> </w:t>
      </w:r>
      <w:r>
        <w:rPr>
          <w:rFonts w:ascii="Tahoma" w:eastAsia="Calibri" w:hAnsi="Tahoma" w:cs="Tahoma"/>
        </w:rPr>
        <w:t xml:space="preserve">followed by </w:t>
      </w:r>
      <w:r w:rsidRPr="00B54676">
        <w:rPr>
          <w:rFonts w:ascii="Tahoma" w:eastAsia="Calibri" w:hAnsi="Tahoma" w:cs="Tahoma"/>
        </w:rPr>
        <w:t>behaviour change</w:t>
      </w:r>
      <w:r>
        <w:rPr>
          <w:rFonts w:ascii="Tahoma" w:eastAsia="Calibri" w:hAnsi="Tahoma" w:cs="Tahoma"/>
        </w:rPr>
        <w:t xml:space="preserve"> (17%); reduced stigma (12%) and improved services (8%). The summary below of a case study from </w:t>
      </w:r>
      <w:r w:rsidRPr="006473B9">
        <w:rPr>
          <w:rFonts w:ascii="Tahoma" w:eastAsia="Calibri" w:hAnsi="Tahoma" w:cs="Tahoma"/>
          <w:b/>
        </w:rPr>
        <w:t>Madagascar</w:t>
      </w:r>
      <w:r>
        <w:rPr>
          <w:rFonts w:ascii="Tahoma" w:eastAsia="Calibri" w:hAnsi="Tahoma" w:cs="Tahoma"/>
        </w:rPr>
        <w:t xml:space="preserve"> shows how this is achieved: </w:t>
      </w:r>
    </w:p>
    <w:p w:rsidR="003F2879" w:rsidRPr="00B54676" w:rsidRDefault="003F2879" w:rsidP="003F2879">
      <w:pPr>
        <w:spacing w:after="0" w:line="240" w:lineRule="auto"/>
        <w:jc w:val="both"/>
        <w:rPr>
          <w:rFonts w:ascii="Tahoma" w:eastAsia="Calibri" w:hAnsi="Tahoma" w:cs="Tahoma"/>
        </w:rPr>
      </w:pPr>
    </w:p>
    <w:p w:rsidR="003F2879" w:rsidRPr="00F836E9" w:rsidRDefault="003F2879" w:rsidP="003F2879">
      <w:pPr>
        <w:shd w:val="clear" w:color="auto" w:fill="F2F2F2" w:themeFill="background1" w:themeFillShade="F2"/>
        <w:jc w:val="both"/>
        <w:rPr>
          <w:rFonts w:ascii="Tahoma" w:eastAsia="MS Mincho" w:hAnsi="Tahoma" w:cs="Tahoma"/>
        </w:rPr>
      </w:pPr>
      <w:r>
        <w:rPr>
          <w:rFonts w:ascii="Tahoma" w:eastAsia="MS Mincho" w:hAnsi="Tahoma" w:cs="Tahoma"/>
        </w:rPr>
        <w:t xml:space="preserve">In 2012 the gender committee of the </w:t>
      </w:r>
      <w:r w:rsidRPr="00F836E9">
        <w:rPr>
          <w:rFonts w:ascii="Tahoma" w:eastAsia="MS Mincho" w:hAnsi="Tahoma" w:cs="Tahoma"/>
        </w:rPr>
        <w:t xml:space="preserve">rural council of </w:t>
      </w:r>
      <w:proofErr w:type="spellStart"/>
      <w:r w:rsidRPr="00F836E9">
        <w:rPr>
          <w:rFonts w:ascii="Tahoma" w:eastAsia="MS Mincho" w:hAnsi="Tahoma" w:cs="Tahoma"/>
          <w:b/>
        </w:rPr>
        <w:t>Tsiafahy</w:t>
      </w:r>
      <w:proofErr w:type="spellEnd"/>
      <w:r>
        <w:rPr>
          <w:rFonts w:ascii="Tahoma" w:eastAsia="MS Mincho" w:hAnsi="Tahoma" w:cs="Tahoma"/>
          <w:b/>
        </w:rPr>
        <w:t xml:space="preserve">, </w:t>
      </w:r>
      <w:r>
        <w:rPr>
          <w:rFonts w:ascii="Tahoma" w:eastAsia="MS Mincho" w:hAnsi="Tahoma" w:cs="Tahoma"/>
        </w:rPr>
        <w:t>a GL COE,</w:t>
      </w:r>
      <w:r w:rsidRPr="006473B9">
        <w:rPr>
          <w:rFonts w:ascii="Tahoma" w:eastAsia="MS Mincho" w:hAnsi="Tahoma" w:cs="Tahoma"/>
          <w:b/>
        </w:rPr>
        <w:t xml:space="preserve"> </w:t>
      </w:r>
      <w:r>
        <w:rPr>
          <w:rFonts w:ascii="Tahoma" w:eastAsia="MS Mincho" w:hAnsi="Tahoma" w:cs="Tahoma"/>
        </w:rPr>
        <w:t xml:space="preserve">created an </w:t>
      </w:r>
      <w:r w:rsidRPr="00F836E9">
        <w:rPr>
          <w:rFonts w:ascii="Tahoma" w:eastAsia="MS Mincho" w:hAnsi="Tahoma" w:cs="Tahoma"/>
        </w:rPr>
        <w:t xml:space="preserve">association </w:t>
      </w:r>
      <w:r>
        <w:rPr>
          <w:rFonts w:ascii="Tahoma" w:eastAsia="MS Mincho" w:hAnsi="Tahoma" w:cs="Tahoma"/>
        </w:rPr>
        <w:t>called Amis</w:t>
      </w:r>
      <w:r w:rsidRPr="00F836E9">
        <w:rPr>
          <w:rFonts w:ascii="Tahoma" w:eastAsia="MS Mincho" w:hAnsi="Tahoma" w:cs="Tahoma"/>
        </w:rPr>
        <w:t xml:space="preserve"> (</w:t>
      </w:r>
      <w:r w:rsidRPr="00F836E9">
        <w:rPr>
          <w:rFonts w:ascii="Tahoma" w:eastAsia="MS Mincho" w:hAnsi="Tahoma" w:cs="Tahoma"/>
          <w:i/>
        </w:rPr>
        <w:t>friend</w:t>
      </w:r>
      <w:r w:rsidRPr="00F836E9">
        <w:rPr>
          <w:rFonts w:ascii="Tahoma" w:eastAsia="MS Mincho" w:hAnsi="Tahoma" w:cs="Tahoma"/>
        </w:rPr>
        <w:t xml:space="preserve">) </w:t>
      </w:r>
      <w:r>
        <w:rPr>
          <w:rFonts w:ascii="Tahoma" w:eastAsia="MS Mincho" w:hAnsi="Tahoma" w:cs="Tahoma"/>
        </w:rPr>
        <w:t xml:space="preserve">focusing </w:t>
      </w:r>
      <w:r w:rsidRPr="00F836E9">
        <w:rPr>
          <w:rFonts w:ascii="Tahoma" w:eastAsia="MS Mincho" w:hAnsi="Tahoma" w:cs="Tahoma"/>
        </w:rPr>
        <w:t>on education, informati</w:t>
      </w:r>
      <w:r>
        <w:rPr>
          <w:rFonts w:ascii="Tahoma" w:eastAsia="MS Mincho" w:hAnsi="Tahoma" w:cs="Tahoma"/>
        </w:rPr>
        <w:t>on and sensitis</w:t>
      </w:r>
      <w:r w:rsidRPr="00F836E9">
        <w:rPr>
          <w:rFonts w:ascii="Tahoma" w:eastAsia="MS Mincho" w:hAnsi="Tahoma" w:cs="Tahoma"/>
        </w:rPr>
        <w:t xml:space="preserve">ation of young people on gender, gender violence, sexual and reproductive health. Led by an active young teacher, </w:t>
      </w:r>
      <w:r>
        <w:rPr>
          <w:rFonts w:ascii="Tahoma" w:eastAsia="MS Mincho" w:hAnsi="Tahoma" w:cs="Tahoma"/>
        </w:rPr>
        <w:t>w</w:t>
      </w:r>
      <w:r w:rsidRPr="00F836E9">
        <w:rPr>
          <w:rFonts w:ascii="Tahoma" w:eastAsia="MS Mincho" w:hAnsi="Tahoma" w:cs="Tahoma"/>
        </w:rPr>
        <w:t xml:space="preserve">ith the support of local health centres, they visited the 15 hamlets of the council to </w:t>
      </w:r>
      <w:r>
        <w:rPr>
          <w:rFonts w:ascii="Tahoma" w:eastAsia="MS Mincho" w:hAnsi="Tahoma" w:cs="Tahoma"/>
        </w:rPr>
        <w:t xml:space="preserve">offer </w:t>
      </w:r>
      <w:r w:rsidRPr="00F836E9">
        <w:rPr>
          <w:rFonts w:ascii="Tahoma" w:eastAsia="MS Mincho" w:hAnsi="Tahoma" w:cs="Tahoma"/>
        </w:rPr>
        <w:t xml:space="preserve">free HIV testing and medical consultation. </w:t>
      </w:r>
      <w:r>
        <w:rPr>
          <w:rFonts w:ascii="Tahoma" w:eastAsia="MS Mincho" w:hAnsi="Tahoma" w:cs="Tahoma"/>
        </w:rPr>
        <w:t>This led to spirited campaigns during the Sixteen Days of Activism on SRHR; periodic sensitis</w:t>
      </w:r>
      <w:r w:rsidRPr="00F836E9">
        <w:rPr>
          <w:rFonts w:ascii="Tahoma" w:eastAsia="MS Mincho" w:hAnsi="Tahoma" w:cs="Tahoma"/>
        </w:rPr>
        <w:t>ation campaigns in schools</w:t>
      </w:r>
      <w:r>
        <w:rPr>
          <w:rFonts w:ascii="Tahoma" w:eastAsia="MS Mincho" w:hAnsi="Tahoma" w:cs="Tahoma"/>
        </w:rPr>
        <w:t>.</w:t>
      </w:r>
      <w:r w:rsidRPr="00F836E9">
        <w:rPr>
          <w:rFonts w:ascii="Tahoma" w:eastAsia="MS Mincho" w:hAnsi="Tahoma" w:cs="Tahoma"/>
        </w:rPr>
        <w:t xml:space="preserve"> </w:t>
      </w:r>
      <w:r>
        <w:rPr>
          <w:rFonts w:ascii="Tahoma" w:eastAsia="MS Mincho" w:hAnsi="Tahoma" w:cs="Tahoma"/>
        </w:rPr>
        <w:t>I</w:t>
      </w:r>
      <w:r w:rsidRPr="00F836E9">
        <w:rPr>
          <w:rFonts w:ascii="Tahoma" w:eastAsia="MS Mincho" w:hAnsi="Tahoma" w:cs="Tahoma"/>
        </w:rPr>
        <w:t xml:space="preserve">n 2014, the association </w:t>
      </w:r>
      <w:r>
        <w:rPr>
          <w:rFonts w:ascii="Tahoma" w:eastAsia="MS Mincho" w:hAnsi="Tahoma" w:cs="Tahoma"/>
        </w:rPr>
        <w:t xml:space="preserve">teamed up with </w:t>
      </w:r>
      <w:r w:rsidRPr="00F836E9">
        <w:rPr>
          <w:rFonts w:ascii="Tahoma" w:eastAsia="MS Mincho" w:hAnsi="Tahoma" w:cs="Tahoma"/>
        </w:rPr>
        <w:t xml:space="preserve">the Ministry of Health and UN agencies </w:t>
      </w:r>
      <w:r>
        <w:rPr>
          <w:rFonts w:ascii="Tahoma" w:eastAsia="MS Mincho" w:hAnsi="Tahoma" w:cs="Tahoma"/>
        </w:rPr>
        <w:t xml:space="preserve">to launch </w:t>
      </w:r>
      <w:r w:rsidRPr="00F836E9">
        <w:rPr>
          <w:rFonts w:ascii="Tahoma" w:eastAsia="MS Mincho" w:hAnsi="Tahoma" w:cs="Tahoma"/>
        </w:rPr>
        <w:t>“</w:t>
      </w:r>
      <w:proofErr w:type="spellStart"/>
      <w:r w:rsidRPr="00F836E9">
        <w:rPr>
          <w:rFonts w:ascii="Tahoma" w:eastAsia="MS Mincho" w:hAnsi="Tahoma" w:cs="Tahoma"/>
        </w:rPr>
        <w:t>Allo</w:t>
      </w:r>
      <w:proofErr w:type="spellEnd"/>
      <w:r w:rsidRPr="00F836E9">
        <w:rPr>
          <w:rFonts w:ascii="Tahoma" w:eastAsia="MS Mincho" w:hAnsi="Tahoma" w:cs="Tahoma"/>
        </w:rPr>
        <w:t xml:space="preserve"> </w:t>
      </w:r>
      <w:proofErr w:type="spellStart"/>
      <w:r w:rsidRPr="00F836E9">
        <w:rPr>
          <w:rFonts w:ascii="Tahoma" w:eastAsia="MS Mincho" w:hAnsi="Tahoma" w:cs="Tahoma"/>
        </w:rPr>
        <w:t>Fanantenana</w:t>
      </w:r>
      <w:proofErr w:type="spellEnd"/>
      <w:r w:rsidRPr="00F836E9">
        <w:rPr>
          <w:rFonts w:ascii="Tahoma" w:eastAsia="MS Mincho" w:hAnsi="Tahoma" w:cs="Tahoma"/>
        </w:rPr>
        <w:t xml:space="preserve">”, free phoning, in which young </w:t>
      </w:r>
      <w:r>
        <w:rPr>
          <w:rFonts w:ascii="Tahoma" w:eastAsia="MS Mincho" w:hAnsi="Tahoma" w:cs="Tahoma"/>
        </w:rPr>
        <w:t>people can get free counselling and</w:t>
      </w:r>
      <w:r w:rsidRPr="00F836E9">
        <w:rPr>
          <w:rFonts w:ascii="Tahoma" w:eastAsia="MS Mincho" w:hAnsi="Tahoma" w:cs="Tahoma"/>
        </w:rPr>
        <w:t xml:space="preserve"> information that it is free, </w:t>
      </w:r>
      <w:r>
        <w:rPr>
          <w:rFonts w:ascii="Tahoma" w:eastAsia="MS Mincho" w:hAnsi="Tahoma" w:cs="Tahoma"/>
        </w:rPr>
        <w:t>easy to access and confidential, often provided by peers.</w:t>
      </w:r>
      <w:r w:rsidRPr="00F836E9">
        <w:rPr>
          <w:rFonts w:ascii="Tahoma" w:eastAsia="MS Mincho" w:hAnsi="Tahoma" w:cs="Tahoma"/>
        </w:rPr>
        <w:t xml:space="preserve"> </w:t>
      </w:r>
      <w:r>
        <w:rPr>
          <w:rFonts w:ascii="Tahoma" w:eastAsia="MS Mincho" w:hAnsi="Tahoma" w:cs="Tahoma"/>
        </w:rPr>
        <w:t xml:space="preserve">The youth have created </w:t>
      </w:r>
      <w:r w:rsidRPr="00F836E9">
        <w:rPr>
          <w:rFonts w:ascii="Tahoma" w:eastAsia="MS Mincho" w:hAnsi="Tahoma" w:cs="Tahoma"/>
        </w:rPr>
        <w:t>radio drama</w:t>
      </w:r>
      <w:r>
        <w:rPr>
          <w:rFonts w:ascii="Tahoma" w:eastAsia="MS Mincho" w:hAnsi="Tahoma" w:cs="Tahoma"/>
        </w:rPr>
        <w:t>s conveying</w:t>
      </w:r>
      <w:r w:rsidRPr="00F836E9">
        <w:rPr>
          <w:rFonts w:ascii="Tahoma" w:eastAsia="MS Mincho" w:hAnsi="Tahoma" w:cs="Tahoma"/>
        </w:rPr>
        <w:t xml:space="preserve"> messages </w:t>
      </w:r>
      <w:r>
        <w:rPr>
          <w:rFonts w:ascii="Tahoma" w:eastAsia="MS Mincho" w:hAnsi="Tahoma" w:cs="Tahoma"/>
        </w:rPr>
        <w:t xml:space="preserve">on </w:t>
      </w:r>
      <w:r w:rsidRPr="00F836E9">
        <w:rPr>
          <w:rFonts w:ascii="Tahoma" w:eastAsia="MS Mincho" w:hAnsi="Tahoma" w:cs="Tahoma"/>
        </w:rPr>
        <w:t xml:space="preserve">gender </w:t>
      </w:r>
      <w:r>
        <w:rPr>
          <w:rFonts w:ascii="Tahoma" w:eastAsia="MS Mincho" w:hAnsi="Tahoma" w:cs="Tahoma"/>
          <w:noProof/>
          <w:lang w:eastAsia="en-GB"/>
        </w:rPr>
        <w:drawing>
          <wp:anchor distT="0" distB="0" distL="114300" distR="114300" simplePos="0" relativeHeight="251688960" behindDoc="0" locked="0" layoutInCell="1" allowOverlap="1" wp14:anchorId="3A2BE9CC" wp14:editId="41B50F9A">
            <wp:simplePos x="0" y="0"/>
            <wp:positionH relativeFrom="column">
              <wp:posOffset>3771900</wp:posOffset>
            </wp:positionH>
            <wp:positionV relativeFrom="paragraph">
              <wp:posOffset>1747520</wp:posOffset>
            </wp:positionV>
            <wp:extent cx="1955165" cy="1543050"/>
            <wp:effectExtent l="0" t="0" r="6985" b="0"/>
            <wp:wrapSquare wrapText="bothSides"/>
            <wp:docPr id="36" name="Picture 36" descr="C:\Users\Colleen\Music\Pictures\Cas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Music\Pictures\Case stud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1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E9">
        <w:rPr>
          <w:rFonts w:ascii="Tahoma" w:eastAsia="MS Mincho" w:hAnsi="Tahoma" w:cs="Tahoma"/>
        </w:rPr>
        <w:t>equality gender violence</w:t>
      </w:r>
      <w:r>
        <w:rPr>
          <w:rFonts w:ascii="Tahoma" w:eastAsia="MS Mincho" w:hAnsi="Tahoma" w:cs="Tahoma"/>
        </w:rPr>
        <w:t xml:space="preserve">, SRHR breaking the </w:t>
      </w:r>
      <w:r w:rsidRPr="00F836E9">
        <w:rPr>
          <w:rFonts w:ascii="Tahoma" w:eastAsia="MS Mincho" w:hAnsi="Tahoma" w:cs="Tahoma"/>
        </w:rPr>
        <w:t>taboo</w:t>
      </w:r>
      <w:r>
        <w:rPr>
          <w:rFonts w:ascii="Tahoma" w:eastAsia="MS Mincho" w:hAnsi="Tahoma" w:cs="Tahoma"/>
        </w:rPr>
        <w:t>s on these topics</w:t>
      </w:r>
      <w:r w:rsidRPr="00F836E9">
        <w:rPr>
          <w:rFonts w:ascii="Tahoma" w:eastAsia="MS Mincho" w:hAnsi="Tahoma" w:cs="Tahoma"/>
        </w:rPr>
        <w:t xml:space="preserve"> in </w:t>
      </w:r>
      <w:r>
        <w:rPr>
          <w:rFonts w:ascii="Tahoma" w:eastAsia="MS Mincho" w:hAnsi="Tahoma" w:cs="Tahoma"/>
        </w:rPr>
        <w:t>the community.</w:t>
      </w:r>
      <w:r w:rsidRPr="00F836E9">
        <w:rPr>
          <w:rFonts w:ascii="Tahoma" w:eastAsia="MS Mincho" w:hAnsi="Tahoma" w:cs="Tahoma"/>
        </w:rPr>
        <w:t xml:space="preserve"> Thanks to the association’s activities, the council included strategies for young people in the develop</w:t>
      </w:r>
      <w:r>
        <w:rPr>
          <w:rFonts w:ascii="Tahoma" w:eastAsia="MS Mincho" w:hAnsi="Tahoma" w:cs="Tahoma"/>
        </w:rPr>
        <w:t xml:space="preserve">ment action plan of the council, which won the runner up award for Madagascar in the SRHR category in the 2015 SADC </w:t>
      </w:r>
      <w:proofErr w:type="spellStart"/>
      <w:r>
        <w:rPr>
          <w:rFonts w:ascii="Tahoma" w:eastAsia="MS Mincho" w:hAnsi="Tahoma" w:cs="Tahoma"/>
        </w:rPr>
        <w:t>Protcol@Work</w:t>
      </w:r>
      <w:proofErr w:type="spellEnd"/>
      <w:r>
        <w:rPr>
          <w:rFonts w:ascii="Tahoma" w:eastAsia="MS Mincho" w:hAnsi="Tahoma" w:cs="Tahoma"/>
        </w:rPr>
        <w:t xml:space="preserve"> summit in Madagascar, where the mayor received the award.    </w:t>
      </w:r>
      <w:r w:rsidRPr="00F836E9">
        <w:rPr>
          <w:rFonts w:ascii="Tahoma" w:eastAsia="MS Mincho" w:hAnsi="Tahoma" w:cs="Tahoma"/>
        </w:rPr>
        <w:t xml:space="preserve"> </w:t>
      </w:r>
    </w:p>
    <w:p w:rsidR="003F2879" w:rsidRPr="00B54676" w:rsidRDefault="003F2879" w:rsidP="003F2879">
      <w:pPr>
        <w:jc w:val="both"/>
        <w:rPr>
          <w:rFonts w:ascii="Tahoma" w:eastAsia="Calibri" w:hAnsi="Tahoma" w:cs="Tahoma"/>
        </w:rPr>
      </w:pPr>
      <w:r>
        <w:rPr>
          <w:rFonts w:ascii="Tahoma" w:eastAsia="Calibri" w:hAnsi="Tahoma" w:cs="Tahoma"/>
          <w:b/>
          <w:i/>
        </w:rPr>
        <w:t>Laws, policies and regulations:</w:t>
      </w:r>
      <w:r w:rsidRPr="00B54676">
        <w:rPr>
          <w:rFonts w:ascii="Tahoma" w:eastAsia="Calibri" w:hAnsi="Tahoma" w:cs="Tahoma"/>
          <w:b/>
          <w:i/>
        </w:rPr>
        <w:t xml:space="preserve"> </w:t>
      </w:r>
      <w:r>
        <w:rPr>
          <w:rFonts w:ascii="Tahoma" w:eastAsia="Calibri" w:hAnsi="Tahoma" w:cs="Tahoma"/>
        </w:rPr>
        <w:t xml:space="preserve">Seven percent of the case studies concerned changes in laws, policies and regulations on SRHR. Six SADC countries now have SRHR laws. The Alliance is campaigning for SRHR policies in the other nine - </w:t>
      </w:r>
    </w:p>
    <w:p w:rsidR="003F2879" w:rsidRPr="00B54676" w:rsidRDefault="003F2879" w:rsidP="003F2879">
      <w:pPr>
        <w:spacing w:after="0" w:line="240" w:lineRule="auto"/>
        <w:jc w:val="both"/>
        <w:rPr>
          <w:rFonts w:ascii="Tahoma" w:eastAsia="Calibri" w:hAnsi="Tahoma" w:cs="Tahoma"/>
          <w:i/>
        </w:rPr>
      </w:pPr>
      <w:r w:rsidRPr="00B54676">
        <w:rPr>
          <w:rFonts w:ascii="Calibri" w:eastAsia="Calibri" w:hAnsi="Calibri" w:cs="Tahoma"/>
          <w:noProof/>
          <w:sz w:val="24"/>
          <w:lang w:eastAsia="en-GB"/>
        </w:rPr>
        <w:drawing>
          <wp:anchor distT="0" distB="0" distL="114300" distR="114300" simplePos="0" relativeHeight="251683840" behindDoc="0" locked="0" layoutInCell="1" allowOverlap="1" wp14:anchorId="5A244E47" wp14:editId="3DDBD0A3">
            <wp:simplePos x="0" y="0"/>
            <wp:positionH relativeFrom="column">
              <wp:posOffset>4219575</wp:posOffset>
            </wp:positionH>
            <wp:positionV relativeFrom="paragraph">
              <wp:posOffset>73025</wp:posOffset>
            </wp:positionV>
            <wp:extent cx="1683385" cy="1952625"/>
            <wp:effectExtent l="0" t="0" r="0" b="9525"/>
            <wp:wrapSquare wrapText="bothSides"/>
            <wp:docPr id="37" name="Picture 37" descr="http://preditor.genderlinks.org.za/assets/pages/images/02539_resized_10647_thumbnail_baro201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ditor.genderlinks.org.za/assets/pages/images/02539_resized_10647_thumbnail_baro2015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33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676">
        <w:rPr>
          <w:rFonts w:ascii="Tahoma" w:eastAsia="Calibri" w:hAnsi="Tahoma" w:cs="Tahoma"/>
          <w:b/>
          <w:i/>
        </w:rPr>
        <w:t>Innovation</w:t>
      </w:r>
      <w:r>
        <w:rPr>
          <w:rFonts w:ascii="Tahoma" w:eastAsia="Calibri" w:hAnsi="Tahoma" w:cs="Tahoma"/>
          <w:b/>
          <w:i/>
        </w:rPr>
        <w:t xml:space="preserve">: changing regional and global SRHR standards from the bottom up: </w:t>
      </w:r>
      <w:r>
        <w:rPr>
          <w:rFonts w:ascii="Tahoma" w:eastAsia="Calibri" w:hAnsi="Tahoma" w:cs="Tahoma"/>
        </w:rPr>
        <w:t xml:space="preserve">GL used the 2015 case studies to make the case in the 2015 Barometer for stronger language on SRHR in the post 2015 SADC Gender Protocol and through the Women’s Major Group, in the SDGs. The draft post 2015 Protocol, to be adopted by Heads of State in August 2015, has a specific section on SRHR, and adopts SDG, Beijing Plus Twenty and </w:t>
      </w:r>
      <w:proofErr w:type="spellStart"/>
      <w:r>
        <w:rPr>
          <w:rFonts w:ascii="Tahoma" w:eastAsia="Calibri" w:hAnsi="Tahoma" w:cs="Tahoma"/>
        </w:rPr>
        <w:t>IPDC</w:t>
      </w:r>
      <w:proofErr w:type="spellEnd"/>
      <w:r>
        <w:rPr>
          <w:rFonts w:ascii="Tahoma" w:eastAsia="Calibri" w:hAnsi="Tahoma" w:cs="Tahoma"/>
        </w:rPr>
        <w:t xml:space="preserve"> standards for its Post 2015 Monitoring, Evaluation and Results Framework.   </w:t>
      </w:r>
      <w:r w:rsidRPr="00B54676">
        <w:rPr>
          <w:rFonts w:ascii="Tahoma" w:eastAsia="Calibri" w:hAnsi="Tahoma" w:cs="Tahoma"/>
          <w:b/>
          <w:i/>
        </w:rPr>
        <w:t xml:space="preserve"> </w:t>
      </w:r>
    </w:p>
    <w:p w:rsidR="003F2879" w:rsidRPr="00B54676" w:rsidRDefault="003F2879" w:rsidP="003F2879">
      <w:pPr>
        <w:spacing w:after="0" w:line="240" w:lineRule="auto"/>
        <w:jc w:val="both"/>
        <w:rPr>
          <w:rFonts w:ascii="Tahoma" w:eastAsia="Calibri" w:hAnsi="Tahoma" w:cs="Tahoma"/>
          <w:lang w:eastAsia="en-ZA"/>
        </w:rPr>
      </w:pPr>
      <w:r w:rsidRPr="00B54676">
        <w:rPr>
          <w:rFonts w:ascii="Tahoma" w:eastAsia="Calibri" w:hAnsi="Tahoma" w:cs="Tahoma"/>
          <w:lang w:eastAsia="en-ZA"/>
        </w:rPr>
        <w:lastRenderedPageBreak/>
        <w:t xml:space="preserve"> </w:t>
      </w:r>
    </w:p>
    <w:p w:rsidR="003F2879" w:rsidRDefault="003F2879" w:rsidP="003F2879">
      <w:pPr>
        <w:spacing w:after="0" w:line="240" w:lineRule="auto"/>
        <w:jc w:val="both"/>
        <w:rPr>
          <w:rFonts w:ascii="Tahoma" w:eastAsia="Calibri" w:hAnsi="Tahoma" w:cs="Tahoma"/>
          <w:b/>
          <w:i/>
        </w:rPr>
      </w:pPr>
    </w:p>
    <w:p w:rsidR="003F2879" w:rsidRPr="004E142C" w:rsidRDefault="003F2879" w:rsidP="003F2879">
      <w:pPr>
        <w:spacing w:after="0" w:line="240" w:lineRule="auto"/>
        <w:jc w:val="both"/>
        <w:rPr>
          <w:rFonts w:ascii="Tahoma" w:eastAsia="Calibri" w:hAnsi="Tahoma" w:cs="Tahoma"/>
        </w:rPr>
      </w:pPr>
      <w:r w:rsidRPr="004E142C">
        <w:rPr>
          <w:rFonts w:ascii="Tahoma" w:eastAsia="Calibri" w:hAnsi="Tahoma" w:cs="Tahoma"/>
          <w:b/>
          <w:i/>
        </w:rPr>
        <w:t xml:space="preserve">Transparency and accountability: </w:t>
      </w:r>
      <w:r>
        <w:rPr>
          <w:rFonts w:ascii="Tahoma" w:eastAsia="Calibri" w:hAnsi="Tahoma" w:cs="Tahoma"/>
        </w:rPr>
        <w:t xml:space="preserve">Summits allow for all work and challenges to be shared and debated. The case studies are housed on the website and in Barometers. They feedback into campaigns led by the target groups.  </w:t>
      </w:r>
    </w:p>
    <w:p w:rsidR="003F2879" w:rsidRDefault="003F2879" w:rsidP="003F2879">
      <w:pPr>
        <w:spacing w:after="0" w:line="240" w:lineRule="auto"/>
        <w:jc w:val="both"/>
        <w:rPr>
          <w:rFonts w:ascii="Tahoma" w:eastAsia="Calibri" w:hAnsi="Tahoma" w:cs="Tahoma"/>
          <w:b/>
        </w:rPr>
      </w:pPr>
    </w:p>
    <w:p w:rsidR="003F2879" w:rsidRPr="00B54676" w:rsidRDefault="003F2879" w:rsidP="003F2879">
      <w:pPr>
        <w:spacing w:after="0" w:line="240" w:lineRule="auto"/>
        <w:jc w:val="both"/>
        <w:rPr>
          <w:rFonts w:ascii="Tahoma" w:eastAsia="Calibri" w:hAnsi="Tahoma" w:cs="Tahoma"/>
          <w:b/>
        </w:rPr>
      </w:pPr>
      <w:r w:rsidRPr="00B54676">
        <w:rPr>
          <w:rFonts w:ascii="Tahoma" w:eastAsia="Calibri" w:hAnsi="Tahoma" w:cs="Tahoma"/>
          <w:b/>
        </w:rPr>
        <w:t xml:space="preserve">Challenges </w:t>
      </w:r>
    </w:p>
    <w:p w:rsidR="003F2879" w:rsidRPr="00B54676" w:rsidRDefault="003F2879" w:rsidP="003F2879">
      <w:pPr>
        <w:spacing w:after="100" w:afterAutospacing="1" w:line="259" w:lineRule="auto"/>
        <w:jc w:val="both"/>
        <w:rPr>
          <w:rFonts w:ascii="Tahoma" w:eastAsia="Times New Roman" w:hAnsi="Tahoma" w:cs="Tahoma"/>
          <w:lang w:eastAsia="en-GB"/>
        </w:rPr>
      </w:pPr>
      <w:r>
        <w:rPr>
          <w:rFonts w:ascii="Tahoma" w:eastAsia="Times New Roman" w:hAnsi="Tahoma" w:cs="Tahoma"/>
          <w:lang w:eastAsia="en-GB"/>
        </w:rPr>
        <w:t xml:space="preserve">As reflected in the 2015 Barometer, only three countries have decriminalised sexual orientation; only South Africa allows choice of termination of pregnancy and no SADC country has decriminalised sex work. Custom, culture and religion remain strong influences on the ground, rolling back progress, especially on work with the three target groups.   </w:t>
      </w:r>
      <w:r w:rsidRPr="00B54676">
        <w:rPr>
          <w:rFonts w:ascii="Tahoma" w:eastAsia="Times New Roman" w:hAnsi="Tahoma" w:cs="Tahoma"/>
          <w:lang w:eastAsia="en-GB"/>
        </w:rPr>
        <w:t xml:space="preserve"> </w:t>
      </w:r>
    </w:p>
    <w:p w:rsidR="003F2879" w:rsidRDefault="003F2879" w:rsidP="003F2879">
      <w:pPr>
        <w:spacing w:after="0"/>
        <w:rPr>
          <w:rFonts w:ascii="Tahoma" w:hAnsi="Tahoma" w:cs="Tahoma"/>
          <w:b/>
        </w:rPr>
      </w:pPr>
      <w:r w:rsidRPr="00202AFC">
        <w:rPr>
          <w:rFonts w:ascii="Tahoma" w:hAnsi="Tahoma" w:cs="Tahoma"/>
          <w:b/>
        </w:rPr>
        <w:t xml:space="preserve">Lessons learned </w:t>
      </w:r>
      <w:r>
        <w:rPr>
          <w:rFonts w:ascii="Tahoma" w:hAnsi="Tahoma" w:cs="Tahoma"/>
          <w:b/>
        </w:rPr>
        <w:t>and next steps</w:t>
      </w:r>
    </w:p>
    <w:p w:rsidR="003F2879" w:rsidRDefault="003F2879" w:rsidP="003F2879">
      <w:pPr>
        <w:spacing w:after="0"/>
        <w:jc w:val="both"/>
        <w:rPr>
          <w:rFonts w:ascii="Tahoma" w:hAnsi="Tahoma" w:cs="Tahoma"/>
        </w:rPr>
      </w:pPr>
      <w:r w:rsidRPr="00305540">
        <w:rPr>
          <w:rFonts w:ascii="Tahoma" w:hAnsi="Tahoma" w:cs="Tahoma"/>
        </w:rPr>
        <w:t>GL has learned to be tactful, diplomatic and incremental in prising open the envelope on SRHR. Work on GBV, HIV and AIDS at the local level has opened the door to other sensitive SRHR issues; for example GL has conducted a pilot project</w:t>
      </w:r>
      <w:r>
        <w:rPr>
          <w:rFonts w:ascii="Tahoma" w:hAnsi="Tahoma" w:cs="Tahoma"/>
        </w:rPr>
        <w:t xml:space="preserve"> </w:t>
      </w:r>
      <w:r w:rsidRPr="00305540">
        <w:rPr>
          <w:rFonts w:ascii="Tahoma" w:hAnsi="Tahoma" w:cs="Tahoma"/>
        </w:rPr>
        <w:t xml:space="preserve">on </w:t>
      </w:r>
      <w:proofErr w:type="spellStart"/>
      <w:r w:rsidRPr="00305540">
        <w:rPr>
          <w:rFonts w:ascii="Tahoma" w:hAnsi="Tahoma" w:cs="Tahoma"/>
        </w:rPr>
        <w:t>LGBTI</w:t>
      </w:r>
      <w:proofErr w:type="spellEnd"/>
      <w:r w:rsidRPr="00305540">
        <w:rPr>
          <w:rFonts w:ascii="Tahoma" w:hAnsi="Tahoma" w:cs="Tahoma"/>
        </w:rPr>
        <w:t xml:space="preserve"> attitudes with councils in Namibia. GL has become adept at using local pressure to strengthen regional provisions and vice versa. Councils are ready to take on new challenges around flagship SRHR programmes focusing on youth and key populations.  </w:t>
      </w:r>
    </w:p>
    <w:p w:rsidR="003F2879" w:rsidRPr="00305540" w:rsidRDefault="003F2879" w:rsidP="003F2879">
      <w:pPr>
        <w:spacing w:after="0"/>
        <w:jc w:val="both"/>
        <w:rPr>
          <w:rFonts w:ascii="Tahoma" w:hAnsi="Tahoma" w:cs="Tahoma"/>
        </w:rPr>
      </w:pPr>
    </w:p>
    <w:p w:rsidR="004368C2" w:rsidRPr="004368C2" w:rsidRDefault="004368C2">
      <w:pPr>
        <w:rPr>
          <w:rFonts w:ascii="Tahoma" w:hAnsi="Tahoma" w:cs="Tahoma"/>
          <w:b/>
        </w:rPr>
      </w:pPr>
    </w:p>
    <w:sectPr w:rsidR="004368C2" w:rsidRPr="004368C2" w:rsidSect="00F710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394" w:rsidRDefault="00A87394" w:rsidP="00E01A9C">
      <w:pPr>
        <w:spacing w:after="0" w:line="240" w:lineRule="auto"/>
      </w:pPr>
      <w:r>
        <w:separator/>
      </w:r>
    </w:p>
  </w:endnote>
  <w:endnote w:type="continuationSeparator" w:id="0">
    <w:p w:rsidR="00A87394" w:rsidRDefault="00A87394" w:rsidP="00E0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354631"/>
      <w:docPartObj>
        <w:docPartGallery w:val="Page Numbers (Bottom of Page)"/>
        <w:docPartUnique/>
      </w:docPartObj>
    </w:sdtPr>
    <w:sdtEndPr>
      <w:rPr>
        <w:noProof/>
      </w:rPr>
    </w:sdtEndPr>
    <w:sdtContent>
      <w:p w:rsidR="00E01A9C" w:rsidRDefault="00E01A9C">
        <w:pPr>
          <w:pStyle w:val="Footer"/>
          <w:jc w:val="right"/>
        </w:pPr>
        <w:r>
          <w:fldChar w:fldCharType="begin"/>
        </w:r>
        <w:r>
          <w:instrText xml:space="preserve"> PAGE   \* MERGEFORMAT </w:instrText>
        </w:r>
        <w:r>
          <w:fldChar w:fldCharType="separate"/>
        </w:r>
        <w:r w:rsidR="005B54DB">
          <w:rPr>
            <w:noProof/>
          </w:rPr>
          <w:t>20</w:t>
        </w:r>
        <w:r>
          <w:rPr>
            <w:noProof/>
          </w:rPr>
          <w:fldChar w:fldCharType="end"/>
        </w:r>
      </w:p>
    </w:sdtContent>
  </w:sdt>
  <w:p w:rsidR="00E01A9C" w:rsidRDefault="00E01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394" w:rsidRDefault="00A87394" w:rsidP="00E01A9C">
      <w:pPr>
        <w:spacing w:after="0" w:line="240" w:lineRule="auto"/>
      </w:pPr>
      <w:r>
        <w:separator/>
      </w:r>
    </w:p>
  </w:footnote>
  <w:footnote w:type="continuationSeparator" w:id="0">
    <w:p w:rsidR="00A87394" w:rsidRDefault="00A87394" w:rsidP="00E01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85B9C"/>
    <w:multiLevelType w:val="hybridMultilevel"/>
    <w:tmpl w:val="522E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727F55"/>
    <w:multiLevelType w:val="hybridMultilevel"/>
    <w:tmpl w:val="79565A9C"/>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nsid w:val="4E25226C"/>
    <w:multiLevelType w:val="hybridMultilevel"/>
    <w:tmpl w:val="638A2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9676519"/>
    <w:multiLevelType w:val="hybridMultilevel"/>
    <w:tmpl w:val="77A4633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nsid w:val="7E53076E"/>
    <w:multiLevelType w:val="hybridMultilevel"/>
    <w:tmpl w:val="7B46B7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76F"/>
    <w:rsid w:val="000E7149"/>
    <w:rsid w:val="00107D02"/>
    <w:rsid w:val="001A5806"/>
    <w:rsid w:val="001E03E4"/>
    <w:rsid w:val="00246A27"/>
    <w:rsid w:val="002A0AD0"/>
    <w:rsid w:val="002E0042"/>
    <w:rsid w:val="00322CA9"/>
    <w:rsid w:val="003F2879"/>
    <w:rsid w:val="004368C2"/>
    <w:rsid w:val="00484235"/>
    <w:rsid w:val="00500BB6"/>
    <w:rsid w:val="005212DF"/>
    <w:rsid w:val="00525336"/>
    <w:rsid w:val="00554AC7"/>
    <w:rsid w:val="0056686B"/>
    <w:rsid w:val="005B54DB"/>
    <w:rsid w:val="0061639B"/>
    <w:rsid w:val="0066195F"/>
    <w:rsid w:val="00686104"/>
    <w:rsid w:val="00793785"/>
    <w:rsid w:val="007B72CB"/>
    <w:rsid w:val="007D72FE"/>
    <w:rsid w:val="007E753E"/>
    <w:rsid w:val="0080576F"/>
    <w:rsid w:val="00812902"/>
    <w:rsid w:val="00856687"/>
    <w:rsid w:val="008F75FD"/>
    <w:rsid w:val="009B2B14"/>
    <w:rsid w:val="00A01EE7"/>
    <w:rsid w:val="00A61521"/>
    <w:rsid w:val="00A85715"/>
    <w:rsid w:val="00A87394"/>
    <w:rsid w:val="00AB1EB8"/>
    <w:rsid w:val="00B1532F"/>
    <w:rsid w:val="00CC6DF8"/>
    <w:rsid w:val="00D92CF2"/>
    <w:rsid w:val="00DB0610"/>
    <w:rsid w:val="00DE14D5"/>
    <w:rsid w:val="00E01A9C"/>
    <w:rsid w:val="00E610EF"/>
    <w:rsid w:val="00E67D5A"/>
    <w:rsid w:val="00EA597B"/>
    <w:rsid w:val="00F7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6F"/>
    <w:rPr>
      <w:rFonts w:ascii="Tahoma" w:hAnsi="Tahoma" w:cs="Tahoma"/>
      <w:sz w:val="16"/>
      <w:szCs w:val="16"/>
    </w:rPr>
  </w:style>
  <w:style w:type="table" w:styleId="TableGrid">
    <w:name w:val="Table Grid"/>
    <w:basedOn w:val="TableNormal"/>
    <w:uiPriority w:val="59"/>
    <w:rsid w:val="005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902"/>
    <w:pPr>
      <w:ind w:left="720"/>
      <w:contextualSpacing/>
    </w:pPr>
  </w:style>
  <w:style w:type="table" w:customStyle="1" w:styleId="TableGrid1">
    <w:name w:val="Table Grid1"/>
    <w:basedOn w:val="TableNormal"/>
    <w:next w:val="TableGrid"/>
    <w:uiPriority w:val="39"/>
    <w:rsid w:val="00F7100C"/>
    <w:pPr>
      <w:spacing w:after="0" w:line="240" w:lineRule="auto"/>
    </w:pPr>
    <w:rPr>
      <w:rFonts w:ascii="Tahoma" w:eastAsia="Calibri" w:hAnsi="Tahoma"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A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A9C"/>
  </w:style>
  <w:style w:type="paragraph" w:styleId="Footer">
    <w:name w:val="footer"/>
    <w:basedOn w:val="Normal"/>
    <w:link w:val="FooterChar"/>
    <w:uiPriority w:val="99"/>
    <w:unhideWhenUsed/>
    <w:rsid w:val="00E01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A9C"/>
  </w:style>
  <w:style w:type="paragraph" w:styleId="Caption">
    <w:name w:val="caption"/>
    <w:basedOn w:val="Normal"/>
    <w:next w:val="Normal"/>
    <w:uiPriority w:val="35"/>
    <w:semiHidden/>
    <w:unhideWhenUsed/>
    <w:qFormat/>
    <w:rsid w:val="00E67D5A"/>
    <w:pPr>
      <w:spacing w:line="240" w:lineRule="auto"/>
    </w:pPr>
    <w:rPr>
      <w:b/>
      <w:bCs/>
      <w:color w:val="4F81BD" w:themeColor="accent1"/>
      <w:sz w:val="18"/>
      <w:szCs w:val="18"/>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6F"/>
    <w:rPr>
      <w:rFonts w:ascii="Tahoma" w:hAnsi="Tahoma" w:cs="Tahoma"/>
      <w:sz w:val="16"/>
      <w:szCs w:val="16"/>
    </w:rPr>
  </w:style>
  <w:style w:type="table" w:styleId="TableGrid">
    <w:name w:val="Table Grid"/>
    <w:basedOn w:val="TableNormal"/>
    <w:uiPriority w:val="59"/>
    <w:rsid w:val="005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902"/>
    <w:pPr>
      <w:ind w:left="720"/>
      <w:contextualSpacing/>
    </w:pPr>
  </w:style>
  <w:style w:type="table" w:customStyle="1" w:styleId="TableGrid1">
    <w:name w:val="Table Grid1"/>
    <w:basedOn w:val="TableNormal"/>
    <w:next w:val="TableGrid"/>
    <w:uiPriority w:val="39"/>
    <w:rsid w:val="00F7100C"/>
    <w:pPr>
      <w:spacing w:after="0" w:line="240" w:lineRule="auto"/>
    </w:pPr>
    <w:rPr>
      <w:rFonts w:ascii="Tahoma" w:eastAsia="Calibri" w:hAnsi="Tahoma"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A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A9C"/>
  </w:style>
  <w:style w:type="paragraph" w:styleId="Footer">
    <w:name w:val="footer"/>
    <w:basedOn w:val="Normal"/>
    <w:link w:val="FooterChar"/>
    <w:uiPriority w:val="99"/>
    <w:unhideWhenUsed/>
    <w:rsid w:val="00E01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A9C"/>
  </w:style>
  <w:style w:type="paragraph" w:styleId="Caption">
    <w:name w:val="caption"/>
    <w:basedOn w:val="Normal"/>
    <w:next w:val="Normal"/>
    <w:uiPriority w:val="35"/>
    <w:semiHidden/>
    <w:unhideWhenUsed/>
    <w:qFormat/>
    <w:rsid w:val="00E67D5A"/>
    <w:pPr>
      <w:spacing w:line="240" w:lineRule="auto"/>
    </w:pPr>
    <w:rPr>
      <w:b/>
      <w:bCs/>
      <w:color w:val="4F81BD" w:themeColor="accent1"/>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2283">
      <w:bodyDiv w:val="1"/>
      <w:marLeft w:val="0"/>
      <w:marRight w:val="0"/>
      <w:marTop w:val="0"/>
      <w:marBottom w:val="0"/>
      <w:divBdr>
        <w:top w:val="none" w:sz="0" w:space="0" w:color="auto"/>
        <w:left w:val="none" w:sz="0" w:space="0" w:color="auto"/>
        <w:bottom w:val="none" w:sz="0" w:space="0" w:color="auto"/>
        <w:right w:val="none" w:sz="0" w:space="0" w:color="auto"/>
      </w:divBdr>
    </w:div>
    <w:div w:id="652367908">
      <w:bodyDiv w:val="1"/>
      <w:marLeft w:val="0"/>
      <w:marRight w:val="0"/>
      <w:marTop w:val="0"/>
      <w:marBottom w:val="0"/>
      <w:divBdr>
        <w:top w:val="none" w:sz="0" w:space="0" w:color="auto"/>
        <w:left w:val="none" w:sz="0" w:space="0" w:color="auto"/>
        <w:bottom w:val="none" w:sz="0" w:space="0" w:color="auto"/>
        <w:right w:val="none" w:sz="0" w:space="0" w:color="auto"/>
      </w:divBdr>
    </w:div>
    <w:div w:id="1123578003">
      <w:bodyDiv w:val="1"/>
      <w:marLeft w:val="0"/>
      <w:marRight w:val="0"/>
      <w:marTop w:val="0"/>
      <w:marBottom w:val="0"/>
      <w:divBdr>
        <w:top w:val="none" w:sz="0" w:space="0" w:color="auto"/>
        <w:left w:val="none" w:sz="0" w:space="0" w:color="auto"/>
        <w:bottom w:val="none" w:sz="0" w:space="0" w:color="auto"/>
        <w:right w:val="none" w:sz="0" w:space="0" w:color="auto"/>
      </w:divBdr>
    </w:div>
    <w:div w:id="1494757513">
      <w:bodyDiv w:val="1"/>
      <w:marLeft w:val="0"/>
      <w:marRight w:val="0"/>
      <w:marTop w:val="0"/>
      <w:marBottom w:val="0"/>
      <w:divBdr>
        <w:top w:val="none" w:sz="0" w:space="0" w:color="auto"/>
        <w:left w:val="none" w:sz="0" w:space="0" w:color="auto"/>
        <w:bottom w:val="none" w:sz="0" w:space="0" w:color="auto"/>
        <w:right w:val="none" w:sz="0" w:space="0" w:color="auto"/>
      </w:divBdr>
    </w:div>
    <w:div w:id="16406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chart" Target="charts/chart11.xml"/><Relationship Id="rId3" Type="http://schemas.microsoft.com/office/2007/relationships/stylesWithEffects" Target="stylesWithEffects.xml"/><Relationship Id="rId21" Type="http://schemas.openxmlformats.org/officeDocument/2006/relationships/chart" Target="charts/chart4.xml"/><Relationship Id="rId34" Type="http://schemas.microsoft.com/office/2007/relationships/diagramDrawing" Target="diagrams/drawing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microsoft.com/office/2007/relationships/hdphoto" Target="media/hdphoto2.wdp"/><Relationship Id="rId33" Type="http://schemas.openxmlformats.org/officeDocument/2006/relationships/diagramColors" Target="diagrams/colors2.xml"/><Relationship Id="rId38"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1.xml"/><Relationship Id="rId20" Type="http://schemas.microsoft.com/office/2007/relationships/hdphoto" Target="media/hdphoto1.wdp"/><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diagramQuickStyle" Target="diagrams/quickStyle2.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image" Target="media/image7.jpeg"/><Relationship Id="rId36" Type="http://schemas.openxmlformats.org/officeDocument/2006/relationships/chart" Target="charts/chart8.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chart" Target="charts/chart6.xml"/><Relationship Id="rId30" Type="http://schemas.openxmlformats.org/officeDocument/2006/relationships/diagramData" Target="diagrams/data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ahoma" panose="020B0604030504040204" pitchFamily="34" charset="0"/>
                <a:ea typeface="Tahoma" panose="020B0604030504040204" pitchFamily="34" charset="0"/>
                <a:cs typeface="Tahoma" panose="020B0604030504040204" pitchFamily="34" charset="0"/>
              </a:rPr>
              <a:t>Origin</a:t>
            </a:r>
            <a:r>
              <a:rPr lang="en-US" baseline="0">
                <a:latin typeface="Tahoma" panose="020B0604030504040204" pitchFamily="34" charset="0"/>
                <a:ea typeface="Tahoma" panose="020B0604030504040204" pitchFamily="34" charset="0"/>
                <a:cs typeface="Tahoma" panose="020B0604030504040204" pitchFamily="34" charset="0"/>
              </a:rPr>
              <a:t> of SRHR case studies at the 2015 summit</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Zimbabwe</c:v>
                </c:pt>
                <c:pt idx="1">
                  <c:v>Madagascar</c:v>
                </c:pt>
                <c:pt idx="2">
                  <c:v>Botswana</c:v>
                </c:pt>
                <c:pt idx="3">
                  <c:v>South Africa</c:v>
                </c:pt>
                <c:pt idx="4">
                  <c:v>Mauritius</c:v>
                </c:pt>
                <c:pt idx="5">
                  <c:v>Swaziland</c:v>
                </c:pt>
                <c:pt idx="6">
                  <c:v>Namibia</c:v>
                </c:pt>
                <c:pt idx="7">
                  <c:v>Zambia</c:v>
                </c:pt>
                <c:pt idx="8">
                  <c:v>Lesotho</c:v>
                </c:pt>
                <c:pt idx="9">
                  <c:v>Mozambique</c:v>
                </c:pt>
                <c:pt idx="10">
                  <c:v>Malawi</c:v>
                </c:pt>
                <c:pt idx="11">
                  <c:v>Tanzania</c:v>
                </c:pt>
              </c:strCache>
            </c:strRef>
          </c:cat>
          <c:val>
            <c:numRef>
              <c:f>Sheet1!$B$2:$B$13</c:f>
              <c:numCache>
                <c:formatCode>General</c:formatCode>
                <c:ptCount val="12"/>
                <c:pt idx="0">
                  <c:v>25</c:v>
                </c:pt>
                <c:pt idx="1">
                  <c:v>21</c:v>
                </c:pt>
                <c:pt idx="2">
                  <c:v>8</c:v>
                </c:pt>
                <c:pt idx="3">
                  <c:v>8</c:v>
                </c:pt>
                <c:pt idx="4">
                  <c:v>7</c:v>
                </c:pt>
                <c:pt idx="5">
                  <c:v>6</c:v>
                </c:pt>
                <c:pt idx="6">
                  <c:v>5</c:v>
                </c:pt>
                <c:pt idx="7">
                  <c:v>5</c:v>
                </c:pt>
                <c:pt idx="8">
                  <c:v>3</c:v>
                </c:pt>
                <c:pt idx="9">
                  <c:v>3</c:v>
                </c:pt>
                <c:pt idx="10">
                  <c:v>2</c:v>
                </c:pt>
                <c:pt idx="11">
                  <c:v>1</c:v>
                </c:pt>
              </c:numCache>
            </c:numRef>
          </c:val>
        </c:ser>
        <c:dLbls>
          <c:dLblPos val="outEnd"/>
          <c:showLegendKey val="0"/>
          <c:showVal val="1"/>
          <c:showCatName val="0"/>
          <c:showSerName val="0"/>
          <c:showPercent val="0"/>
          <c:showBubbleSize val="0"/>
        </c:dLbls>
        <c:gapWidth val="100"/>
        <c:overlap val="-27"/>
        <c:axId val="358990592"/>
        <c:axId val="358993280"/>
      </c:barChart>
      <c:catAx>
        <c:axId val="35899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58993280"/>
        <c:crosses val="autoZero"/>
        <c:auto val="1"/>
        <c:lblAlgn val="ctr"/>
        <c:lblOffset val="100"/>
        <c:noMultiLvlLbl val="0"/>
      </c:catAx>
      <c:valAx>
        <c:axId val="35899328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99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050" b="1" i="0" u="none" strike="noStrike" baseline="0">
                <a:effectLst/>
                <a:latin typeface="Tahoma" panose="020B0604030504040204" pitchFamily="34" charset="0"/>
                <a:ea typeface="Tahoma" panose="020B0604030504040204" pitchFamily="34" charset="0"/>
                <a:cs typeface="Tahoma" panose="020B0604030504040204" pitchFamily="34" charset="0"/>
              </a:rPr>
              <a:t> Protocol targets referenced</a:t>
            </a:r>
            <a:endParaRPr lang="en-US" sz="105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48058535468301361"/>
          <c:y val="0.14989802998763085"/>
          <c:w val="0.45349151825820433"/>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Reduce the maternal mortality ratio by 75%</c:v>
                </c:pt>
                <c:pt idx="1">
                  <c:v>Resources for care givers</c:v>
                </c:pt>
                <c:pt idx="2">
                  <c:v>Laws to prevent human trafficking</c:v>
                </c:pt>
                <c:pt idx="3">
                  <c:v>Laws and policies prohibiting sexual harassment</c:v>
                </c:pt>
                <c:pt idx="4">
                  <c:v>Policies and programmes on care work</c:v>
                </c:pt>
                <c:pt idx="5">
                  <c:v>Provision of hygiene, sanitary  facilities nutritional needs of women</c:v>
                </c:pt>
                <c:pt idx="6">
                  <c:v>Enhance gender sensitive, affordable quality health care</c:v>
                </c:pt>
                <c:pt idx="7">
                  <c:v>Gender sensitive strategies to prevent new infections</c:v>
                </c:pt>
                <c:pt idx="8">
                  <c:v>Legislation prohibiting all forms of GBV</c:v>
                </c:pt>
                <c:pt idx="9">
                  <c:v>Laws prohibiting sexual offences and GBV</c:v>
                </c:pt>
                <c:pt idx="10">
                  <c:v>Abolish the minority status of women</c:v>
                </c:pt>
                <c:pt idx="11">
                  <c:v>Services for survivors of GBV</c:v>
                </c:pt>
                <c:pt idx="12">
                  <c:v>Address the mental, SRH needs of women and men</c:v>
                </c:pt>
                <c:pt idx="13">
                  <c:v>Universal access to HIV and AIDS treatment</c:v>
                </c:pt>
                <c:pt idx="14">
                  <c:v>Integrated approaches to reduce levels of GBV</c:v>
                </c:pt>
              </c:strCache>
            </c:strRef>
          </c:cat>
          <c:val>
            <c:numRef>
              <c:f>Sheet1!$B$2:$B$16</c:f>
              <c:numCache>
                <c:formatCode>0%</c:formatCode>
                <c:ptCount val="15"/>
                <c:pt idx="0">
                  <c:v>0.01</c:v>
                </c:pt>
                <c:pt idx="1">
                  <c:v>1.2195121951219513E-2</c:v>
                </c:pt>
                <c:pt idx="2">
                  <c:v>2.4390243902439025E-2</c:v>
                </c:pt>
                <c:pt idx="3">
                  <c:v>0.03</c:v>
                </c:pt>
                <c:pt idx="4">
                  <c:v>0.03</c:v>
                </c:pt>
                <c:pt idx="5">
                  <c:v>0.04</c:v>
                </c:pt>
                <c:pt idx="6">
                  <c:v>0.05</c:v>
                </c:pt>
                <c:pt idx="7">
                  <c:v>0.05</c:v>
                </c:pt>
                <c:pt idx="8">
                  <c:v>7.0000000000000007E-2</c:v>
                </c:pt>
                <c:pt idx="9">
                  <c:v>0.08</c:v>
                </c:pt>
                <c:pt idx="10">
                  <c:v>0.1</c:v>
                </c:pt>
                <c:pt idx="11">
                  <c:v>0.13</c:v>
                </c:pt>
                <c:pt idx="12">
                  <c:v>0.14000000000000001</c:v>
                </c:pt>
                <c:pt idx="13">
                  <c:v>0.15</c:v>
                </c:pt>
                <c:pt idx="14">
                  <c:v>0.3</c:v>
                </c:pt>
              </c:numCache>
            </c:numRef>
          </c:val>
        </c:ser>
        <c:dLbls>
          <c:dLblPos val="outEnd"/>
          <c:showLegendKey val="0"/>
          <c:showVal val="1"/>
          <c:showCatName val="0"/>
          <c:showSerName val="0"/>
          <c:showPercent val="0"/>
          <c:showBubbleSize val="0"/>
        </c:dLbls>
        <c:gapWidth val="100"/>
        <c:axId val="370111232"/>
        <c:axId val="370113920"/>
      </c:barChart>
      <c:catAx>
        <c:axId val="37011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70113920"/>
        <c:crosses val="autoZero"/>
        <c:auto val="1"/>
        <c:lblAlgn val="ctr"/>
        <c:lblOffset val="100"/>
        <c:noMultiLvlLbl val="0"/>
      </c:catAx>
      <c:valAx>
        <c:axId val="370113920"/>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1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9437124814846"/>
          <c:y val="0.1537293307086614"/>
          <c:w val="0.61009104060012298"/>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Sexual pleasure</c:v>
                </c:pt>
                <c:pt idx="1">
                  <c:v>Access to abortion services</c:v>
                </c:pt>
                <c:pt idx="2">
                  <c:v>Right to abortion</c:v>
                </c:pt>
                <c:pt idx="3">
                  <c:v>Sexual integrity</c:v>
                </c:pt>
                <c:pt idx="4">
                  <c:v>Sexual freedom</c:v>
                </c:pt>
                <c:pt idx="5">
                  <c:v>Sexual education</c:v>
                </c:pt>
                <c:pt idx="6">
                  <c:v>Making decisions on family planning</c:v>
                </c:pt>
                <c:pt idx="7">
                  <c:v>Free reproductive choices</c:v>
                </c:pt>
                <c:pt idx="8">
                  <c:v>Improved safety during pregnancy</c:v>
                </c:pt>
                <c:pt idx="9">
                  <c:v>Access to sexual information</c:v>
                </c:pt>
                <c:pt idx="10">
                  <c:v>Affordable SRH and services</c:v>
                </c:pt>
                <c:pt idx="11">
                  <c:v>Sexual and reproductive rights </c:v>
                </c:pt>
                <c:pt idx="12">
                  <c:v>Accessible SRH and services</c:v>
                </c:pt>
                <c:pt idx="13">
                  <c:v>Freedom from gender based violence</c:v>
                </c:pt>
              </c:strCache>
            </c:strRef>
          </c:cat>
          <c:val>
            <c:numRef>
              <c:f>Sheet1!$B$2:$B$15</c:f>
              <c:numCache>
                <c:formatCode>0%</c:formatCode>
                <c:ptCount val="14"/>
                <c:pt idx="0">
                  <c:v>0</c:v>
                </c:pt>
                <c:pt idx="1">
                  <c:v>0.01</c:v>
                </c:pt>
                <c:pt idx="2">
                  <c:v>0.02</c:v>
                </c:pt>
                <c:pt idx="3">
                  <c:v>0.02</c:v>
                </c:pt>
                <c:pt idx="4">
                  <c:v>0.04</c:v>
                </c:pt>
                <c:pt idx="5">
                  <c:v>0.05</c:v>
                </c:pt>
                <c:pt idx="6">
                  <c:v>7.0000000000000007E-2</c:v>
                </c:pt>
                <c:pt idx="7">
                  <c:v>0.08</c:v>
                </c:pt>
                <c:pt idx="8">
                  <c:v>0.08</c:v>
                </c:pt>
                <c:pt idx="9">
                  <c:v>0.09</c:v>
                </c:pt>
                <c:pt idx="10">
                  <c:v>0.1</c:v>
                </c:pt>
                <c:pt idx="11">
                  <c:v>0.13</c:v>
                </c:pt>
                <c:pt idx="12">
                  <c:v>0.22</c:v>
                </c:pt>
                <c:pt idx="13">
                  <c:v>0.23</c:v>
                </c:pt>
              </c:numCache>
            </c:numRef>
          </c:val>
        </c:ser>
        <c:dLbls>
          <c:dLblPos val="outEnd"/>
          <c:showLegendKey val="0"/>
          <c:showVal val="1"/>
          <c:showCatName val="0"/>
          <c:showSerName val="0"/>
          <c:showPercent val="0"/>
          <c:showBubbleSize val="0"/>
        </c:dLbls>
        <c:gapWidth val="100"/>
        <c:axId val="337316096"/>
        <c:axId val="337319040"/>
      </c:barChart>
      <c:catAx>
        <c:axId val="33731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37319040"/>
        <c:crosses val="autoZero"/>
        <c:auto val="1"/>
        <c:lblAlgn val="ctr"/>
        <c:lblOffset val="100"/>
        <c:noMultiLvlLbl val="0"/>
      </c:catAx>
      <c:valAx>
        <c:axId val="337319040"/>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31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n-lt"/>
                <a:ea typeface="Tahoma" panose="020B0604030504040204" pitchFamily="34" charset="0"/>
                <a:cs typeface="Tahoma" panose="020B0604030504040204" pitchFamily="34" charset="0"/>
              </a:rPr>
              <a:t>Types of change</a:t>
            </a:r>
            <a:r>
              <a:rPr lang="en-US" b="1" baseline="0">
                <a:latin typeface="+mn-lt"/>
                <a:ea typeface="Tahoma" panose="020B0604030504040204" pitchFamily="34" charset="0"/>
                <a:cs typeface="Tahoma" panose="020B0604030504040204" pitchFamily="34" charset="0"/>
              </a:rPr>
              <a:t> </a:t>
            </a:r>
            <a:r>
              <a:rPr lang="en-US" b="1">
                <a:latin typeface="+mn-lt"/>
                <a:ea typeface="Tahoma" panose="020B0604030504040204" pitchFamily="34" charset="0"/>
                <a:cs typeface="Tahoma" panose="020B0604030504040204" pitchFamily="34" charset="0"/>
              </a:rPr>
              <a:t>taking place</a:t>
            </a:r>
            <a:r>
              <a:rPr lang="en-US" b="1" baseline="0">
                <a:latin typeface="+mn-lt"/>
                <a:ea typeface="Tahoma" panose="020B0604030504040204" pitchFamily="34" charset="0"/>
                <a:cs typeface="Tahoma" panose="020B0604030504040204" pitchFamily="34" charset="0"/>
              </a:rPr>
              <a:t> through SRHR initiatives </a:t>
            </a:r>
            <a:r>
              <a:rPr lang="en-US" b="1">
                <a:latin typeface="+mn-lt"/>
                <a:ea typeface="Tahoma" panose="020B0604030504040204" pitchFamily="34" charset="0"/>
                <a:cs typeface="Tahoma" panose="020B0604030504040204" pitchFamily="34" charset="0"/>
              </a:rPr>
              <a:t> </a:t>
            </a:r>
          </a:p>
        </c:rich>
      </c:tx>
      <c:layout>
        <c:manualLayout>
          <c:xMode val="edge"/>
          <c:yMode val="edge"/>
          <c:x val="7.4146933819064967E-2"/>
          <c:y val="2.199818909099244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Greater public awareness of the issue</c:v>
                </c:pt>
                <c:pt idx="1">
                  <c:v>Change of behaviour</c:v>
                </c:pt>
                <c:pt idx="2">
                  <c:v>Change of attitude; reduced stigma</c:v>
                </c:pt>
                <c:pt idx="3">
                  <c:v>Improved services</c:v>
                </c:pt>
                <c:pt idx="4">
                  <c:v>Change in policy, law or regulation</c:v>
                </c:pt>
              </c:strCache>
            </c:strRef>
          </c:cat>
          <c:val>
            <c:numRef>
              <c:f>Sheet1!$B$2:$B$6</c:f>
              <c:numCache>
                <c:formatCode>0%</c:formatCode>
                <c:ptCount val="5"/>
                <c:pt idx="0">
                  <c:v>0.18478260869565216</c:v>
                </c:pt>
                <c:pt idx="1">
                  <c:v>0.17391304347826086</c:v>
                </c:pt>
                <c:pt idx="2">
                  <c:v>0.11956521739130435</c:v>
                </c:pt>
                <c:pt idx="3">
                  <c:v>7.6086956521739135E-2</c:v>
                </c:pt>
                <c:pt idx="4">
                  <c:v>6.5217391304347824E-2</c:v>
                </c:pt>
              </c:numCache>
            </c:numRef>
          </c:val>
        </c:ser>
        <c:dLbls>
          <c:dLblPos val="outEnd"/>
          <c:showLegendKey val="0"/>
          <c:showVal val="1"/>
          <c:showCatName val="0"/>
          <c:showSerName val="0"/>
          <c:showPercent val="0"/>
          <c:showBubbleSize val="0"/>
        </c:dLbls>
        <c:gapWidth val="150"/>
        <c:axId val="373813248"/>
        <c:axId val="373815936"/>
      </c:barChart>
      <c:catAx>
        <c:axId val="373813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73815936"/>
        <c:crosses val="autoZero"/>
        <c:auto val="1"/>
        <c:lblAlgn val="ctr"/>
        <c:lblOffset val="100"/>
        <c:noMultiLvlLbl val="0"/>
      </c:catAx>
      <c:valAx>
        <c:axId val="37381593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81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latin typeface="Tahoma" panose="020B0604030504040204" pitchFamily="34" charset="0"/>
                <a:ea typeface="Tahoma" panose="020B0604030504040204" pitchFamily="34" charset="0"/>
                <a:cs typeface="Tahoma" panose="020B0604030504040204" pitchFamily="34" charset="0"/>
              </a:rPr>
              <a:t> </a:t>
            </a:r>
            <a:r>
              <a:rPr lang="en-US" sz="1100" b="1">
                <a:latin typeface="Tahoma" panose="020B0604030504040204" pitchFamily="34" charset="0"/>
                <a:ea typeface="Tahoma" panose="020B0604030504040204" pitchFamily="34" charset="0"/>
                <a:cs typeface="Tahoma" panose="020B0604030504040204" pitchFamily="34" charset="0"/>
              </a:rPr>
              <a:t>Type of organisation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Local government</c:v>
                </c:pt>
                <c:pt idx="1">
                  <c:v>Community Based Organisation</c:v>
                </c:pt>
                <c:pt idx="2">
                  <c:v>Non-Governmental Organisation</c:v>
                </c:pt>
                <c:pt idx="3">
                  <c:v>Government department/ministry</c:v>
                </c:pt>
                <c:pt idx="4">
                  <c:v>Faith based Organisation </c:v>
                </c:pt>
              </c:strCache>
            </c:strRef>
          </c:cat>
          <c:val>
            <c:numRef>
              <c:f>Sheet1!$B$2:$B$6</c:f>
              <c:numCache>
                <c:formatCode>0%</c:formatCode>
                <c:ptCount val="5"/>
                <c:pt idx="0">
                  <c:v>0.27</c:v>
                </c:pt>
                <c:pt idx="1">
                  <c:v>0.18</c:v>
                </c:pt>
                <c:pt idx="2">
                  <c:v>0.13</c:v>
                </c:pt>
                <c:pt idx="3">
                  <c:v>7.0000000000000007E-2</c:v>
                </c:pt>
                <c:pt idx="4">
                  <c:v>2.4390243902439025E-2</c:v>
                </c:pt>
              </c:numCache>
            </c:numRef>
          </c:val>
        </c:ser>
        <c:dLbls>
          <c:dLblPos val="outEnd"/>
          <c:showLegendKey val="0"/>
          <c:showVal val="1"/>
          <c:showCatName val="0"/>
          <c:showSerName val="0"/>
          <c:showPercent val="0"/>
          <c:showBubbleSize val="0"/>
        </c:dLbls>
        <c:gapWidth val="100"/>
        <c:overlap val="-27"/>
        <c:axId val="360548608"/>
        <c:axId val="360572032"/>
      </c:barChart>
      <c:catAx>
        <c:axId val="36054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0572032"/>
        <c:crosses val="autoZero"/>
        <c:auto val="1"/>
        <c:lblAlgn val="ctr"/>
        <c:lblOffset val="100"/>
        <c:noMultiLvlLbl val="0"/>
      </c:catAx>
      <c:valAx>
        <c:axId val="360572032"/>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54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sz="1200">
                <a:latin typeface="+mn-lt"/>
                <a:ea typeface="Tahoma" panose="020B0604030504040204" pitchFamily="34" charset="0"/>
                <a:cs typeface="Tahoma" panose="020B0604030504040204" pitchFamily="34" charset="0"/>
              </a:rPr>
              <a:t>Target</a:t>
            </a:r>
            <a:r>
              <a:rPr lang="en-ZA" sz="1200" baseline="0">
                <a:latin typeface="+mn-lt"/>
                <a:ea typeface="Tahoma" panose="020B0604030504040204" pitchFamily="34" charset="0"/>
                <a:cs typeface="Tahoma" panose="020B0604030504040204" pitchFamily="34" charset="0"/>
              </a:rPr>
              <a:t> groups in the Summit Case Studies</a:t>
            </a:r>
            <a:endParaRPr lang="en-ZA" sz="1200">
              <a:latin typeface="+mn-lt"/>
              <a:ea typeface="Tahoma" panose="020B0604030504040204" pitchFamily="34" charset="0"/>
              <a:cs typeface="Tahoma" panose="020B060403050404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905923344947737E-2"/>
          <c:y val="0.17156737055046525"/>
          <c:w val="0.55104447309939919"/>
          <c:h val="0.68262466580891268"/>
        </c:manualLayout>
      </c:layout>
      <c:pie3DChart>
        <c:varyColors val="1"/>
        <c:ser>
          <c:idx val="0"/>
          <c:order val="0"/>
          <c:explosion val="25"/>
          <c:dLbls>
            <c:dLblPos val="outEnd"/>
            <c:showLegendKey val="0"/>
            <c:showVal val="1"/>
            <c:showCatName val="0"/>
            <c:showSerName val="0"/>
            <c:showPercent val="0"/>
            <c:showBubbleSize val="0"/>
            <c:showLeaderLines val="1"/>
          </c:dLbls>
          <c:cat>
            <c:strRef>
              <c:f>'Target group'!$A$16:$A$19</c:f>
              <c:strCache>
                <c:ptCount val="4"/>
                <c:pt idx="0">
                  <c:v>Women </c:v>
                </c:pt>
                <c:pt idx="1">
                  <c:v>Men </c:v>
                </c:pt>
                <c:pt idx="2">
                  <c:v>Youth </c:v>
                </c:pt>
                <c:pt idx="3">
                  <c:v>Key populations: </c:v>
                </c:pt>
              </c:strCache>
            </c:strRef>
          </c:cat>
          <c:val>
            <c:numRef>
              <c:f>'Target group'!$B$16:$B$19</c:f>
              <c:numCache>
                <c:formatCode>0%</c:formatCode>
                <c:ptCount val="4"/>
                <c:pt idx="0">
                  <c:v>0.4</c:v>
                </c:pt>
                <c:pt idx="1">
                  <c:v>0.27</c:v>
                </c:pt>
                <c:pt idx="2">
                  <c:v>0.21</c:v>
                </c:pt>
                <c:pt idx="3">
                  <c:v>0.11504424778761062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555740898241379"/>
          <c:y val="0.17590946282203085"/>
          <c:w val="0.32351998683091443"/>
          <c:h val="0.518411986715784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050" b="1" i="0" u="none" strike="noStrike" baseline="0">
                <a:effectLst/>
                <a:latin typeface="Tahoma" panose="020B0604030504040204" pitchFamily="34" charset="0"/>
                <a:ea typeface="Tahoma" panose="020B0604030504040204" pitchFamily="34" charset="0"/>
                <a:cs typeface="Tahoma" panose="020B0604030504040204" pitchFamily="34" charset="0"/>
              </a:rPr>
              <a:t> Protocol targets referenced</a:t>
            </a:r>
            <a:endParaRPr lang="en-US" sz="105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48058535468301361"/>
          <c:y val="0.14989802998763085"/>
          <c:w val="0.45349151825820433"/>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Reduce the maternal mortality ratio by 75%</c:v>
                </c:pt>
                <c:pt idx="1">
                  <c:v>Resources for care givers</c:v>
                </c:pt>
                <c:pt idx="2">
                  <c:v>Laws to prevent human trafficking</c:v>
                </c:pt>
                <c:pt idx="3">
                  <c:v>Laws and policies prohibiting sexual harassment</c:v>
                </c:pt>
                <c:pt idx="4">
                  <c:v>Policies and programmes on care work</c:v>
                </c:pt>
                <c:pt idx="5">
                  <c:v>Provision of hygiene, sanitary  facilities nutritional needs of women</c:v>
                </c:pt>
                <c:pt idx="6">
                  <c:v>Enhance gender sensitive, affordable quality health care</c:v>
                </c:pt>
                <c:pt idx="7">
                  <c:v>Gender sensitive strategies to prevent new infections</c:v>
                </c:pt>
                <c:pt idx="8">
                  <c:v>Legislation prohibiting all forms of GBV</c:v>
                </c:pt>
                <c:pt idx="9">
                  <c:v>Laws prohibiting sexual offences and GBV</c:v>
                </c:pt>
                <c:pt idx="10">
                  <c:v>Abolish the minority status of women</c:v>
                </c:pt>
                <c:pt idx="11">
                  <c:v>Services for survivors of GBV</c:v>
                </c:pt>
                <c:pt idx="12">
                  <c:v>Address the mental, SRH needs of women and men</c:v>
                </c:pt>
                <c:pt idx="13">
                  <c:v>Universal access to HIV and AIDS treatment</c:v>
                </c:pt>
                <c:pt idx="14">
                  <c:v>Integrated approaches to reduce levels of GBV</c:v>
                </c:pt>
              </c:strCache>
            </c:strRef>
          </c:cat>
          <c:val>
            <c:numRef>
              <c:f>Sheet1!$B$2:$B$16</c:f>
              <c:numCache>
                <c:formatCode>0%</c:formatCode>
                <c:ptCount val="15"/>
                <c:pt idx="0">
                  <c:v>0.01</c:v>
                </c:pt>
                <c:pt idx="1">
                  <c:v>1.2195121951219513E-2</c:v>
                </c:pt>
                <c:pt idx="2">
                  <c:v>2.4390243902439025E-2</c:v>
                </c:pt>
                <c:pt idx="3">
                  <c:v>0.03</c:v>
                </c:pt>
                <c:pt idx="4">
                  <c:v>0.03</c:v>
                </c:pt>
                <c:pt idx="5">
                  <c:v>0.04</c:v>
                </c:pt>
                <c:pt idx="6">
                  <c:v>0.05</c:v>
                </c:pt>
                <c:pt idx="7">
                  <c:v>0.05</c:v>
                </c:pt>
                <c:pt idx="8">
                  <c:v>7.0000000000000007E-2</c:v>
                </c:pt>
                <c:pt idx="9">
                  <c:v>0.08</c:v>
                </c:pt>
                <c:pt idx="10">
                  <c:v>0.1</c:v>
                </c:pt>
                <c:pt idx="11">
                  <c:v>0.13</c:v>
                </c:pt>
                <c:pt idx="12">
                  <c:v>0.14000000000000001</c:v>
                </c:pt>
                <c:pt idx="13">
                  <c:v>0.15</c:v>
                </c:pt>
                <c:pt idx="14">
                  <c:v>0.3</c:v>
                </c:pt>
              </c:numCache>
            </c:numRef>
          </c:val>
        </c:ser>
        <c:dLbls>
          <c:dLblPos val="outEnd"/>
          <c:showLegendKey val="0"/>
          <c:showVal val="1"/>
          <c:showCatName val="0"/>
          <c:showSerName val="0"/>
          <c:showPercent val="0"/>
          <c:showBubbleSize val="0"/>
        </c:dLbls>
        <c:gapWidth val="100"/>
        <c:axId val="360643200"/>
        <c:axId val="364934656"/>
      </c:barChart>
      <c:catAx>
        <c:axId val="36064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4934656"/>
        <c:crosses val="autoZero"/>
        <c:auto val="1"/>
        <c:lblAlgn val="ctr"/>
        <c:lblOffset val="100"/>
        <c:noMultiLvlLbl val="0"/>
      </c:catAx>
      <c:valAx>
        <c:axId val="364934656"/>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64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9437124814846"/>
          <c:y val="0.1537293307086614"/>
          <c:w val="0.61009104060012298"/>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Sexual pleasure</c:v>
                </c:pt>
                <c:pt idx="1">
                  <c:v>Access to abortion services</c:v>
                </c:pt>
                <c:pt idx="2">
                  <c:v>Right to abortion</c:v>
                </c:pt>
                <c:pt idx="3">
                  <c:v>Sexual integrity</c:v>
                </c:pt>
                <c:pt idx="4">
                  <c:v>Sexual freedom</c:v>
                </c:pt>
                <c:pt idx="5">
                  <c:v>Sexual education</c:v>
                </c:pt>
                <c:pt idx="6">
                  <c:v>Making decisions on family planning</c:v>
                </c:pt>
                <c:pt idx="7">
                  <c:v>Free reproductive choices</c:v>
                </c:pt>
                <c:pt idx="8">
                  <c:v>Improved safety during pregnancy</c:v>
                </c:pt>
                <c:pt idx="9">
                  <c:v>Access to sexual information</c:v>
                </c:pt>
                <c:pt idx="10">
                  <c:v>Affordable SRH and services</c:v>
                </c:pt>
                <c:pt idx="11">
                  <c:v>Sexual and reproductive rights </c:v>
                </c:pt>
                <c:pt idx="12">
                  <c:v>Accessible SRH and services</c:v>
                </c:pt>
                <c:pt idx="13">
                  <c:v>Freedom from gender based violence</c:v>
                </c:pt>
              </c:strCache>
            </c:strRef>
          </c:cat>
          <c:val>
            <c:numRef>
              <c:f>Sheet1!$B$2:$B$15</c:f>
              <c:numCache>
                <c:formatCode>0%</c:formatCode>
                <c:ptCount val="14"/>
                <c:pt idx="0">
                  <c:v>0</c:v>
                </c:pt>
                <c:pt idx="1">
                  <c:v>0.01</c:v>
                </c:pt>
                <c:pt idx="2">
                  <c:v>0.02</c:v>
                </c:pt>
                <c:pt idx="3">
                  <c:v>0.02</c:v>
                </c:pt>
                <c:pt idx="4">
                  <c:v>0.04</c:v>
                </c:pt>
                <c:pt idx="5">
                  <c:v>0.05</c:v>
                </c:pt>
                <c:pt idx="6">
                  <c:v>7.0000000000000007E-2</c:v>
                </c:pt>
                <c:pt idx="7">
                  <c:v>0.08</c:v>
                </c:pt>
                <c:pt idx="8">
                  <c:v>0.08</c:v>
                </c:pt>
                <c:pt idx="9">
                  <c:v>0.09</c:v>
                </c:pt>
                <c:pt idx="10">
                  <c:v>0.1</c:v>
                </c:pt>
                <c:pt idx="11">
                  <c:v>0.13</c:v>
                </c:pt>
                <c:pt idx="12">
                  <c:v>0.22</c:v>
                </c:pt>
                <c:pt idx="13">
                  <c:v>0.23</c:v>
                </c:pt>
              </c:numCache>
            </c:numRef>
          </c:val>
        </c:ser>
        <c:dLbls>
          <c:dLblPos val="outEnd"/>
          <c:showLegendKey val="0"/>
          <c:showVal val="1"/>
          <c:showCatName val="0"/>
          <c:showSerName val="0"/>
          <c:showPercent val="0"/>
          <c:showBubbleSize val="0"/>
        </c:dLbls>
        <c:gapWidth val="100"/>
        <c:axId val="360735104"/>
        <c:axId val="360737792"/>
      </c:barChart>
      <c:catAx>
        <c:axId val="36073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0737792"/>
        <c:crosses val="autoZero"/>
        <c:auto val="1"/>
        <c:lblAlgn val="ctr"/>
        <c:lblOffset val="100"/>
        <c:noMultiLvlLbl val="0"/>
      </c:catAx>
      <c:valAx>
        <c:axId val="360737792"/>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3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n-lt"/>
                <a:ea typeface="Tahoma" panose="020B0604030504040204" pitchFamily="34" charset="0"/>
                <a:cs typeface="Tahoma" panose="020B0604030504040204" pitchFamily="34" charset="0"/>
              </a:rPr>
              <a:t>Types of change</a:t>
            </a:r>
            <a:r>
              <a:rPr lang="en-US" b="1" baseline="0">
                <a:latin typeface="+mn-lt"/>
                <a:ea typeface="Tahoma" panose="020B0604030504040204" pitchFamily="34" charset="0"/>
                <a:cs typeface="Tahoma" panose="020B0604030504040204" pitchFamily="34" charset="0"/>
              </a:rPr>
              <a:t> </a:t>
            </a:r>
            <a:r>
              <a:rPr lang="en-US" b="1">
                <a:latin typeface="+mn-lt"/>
                <a:ea typeface="Tahoma" panose="020B0604030504040204" pitchFamily="34" charset="0"/>
                <a:cs typeface="Tahoma" panose="020B0604030504040204" pitchFamily="34" charset="0"/>
              </a:rPr>
              <a:t>taking place</a:t>
            </a:r>
            <a:r>
              <a:rPr lang="en-US" b="1" baseline="0">
                <a:latin typeface="+mn-lt"/>
                <a:ea typeface="Tahoma" panose="020B0604030504040204" pitchFamily="34" charset="0"/>
                <a:cs typeface="Tahoma" panose="020B0604030504040204" pitchFamily="34" charset="0"/>
              </a:rPr>
              <a:t> through SRHR initiatives </a:t>
            </a:r>
            <a:r>
              <a:rPr lang="en-US" b="1">
                <a:latin typeface="+mn-lt"/>
                <a:ea typeface="Tahoma" panose="020B0604030504040204" pitchFamily="34" charset="0"/>
                <a:cs typeface="Tahoma" panose="020B0604030504040204" pitchFamily="34" charset="0"/>
              </a:rPr>
              <a:t> </a:t>
            </a:r>
          </a:p>
        </c:rich>
      </c:tx>
      <c:layout>
        <c:manualLayout>
          <c:xMode val="edge"/>
          <c:yMode val="edge"/>
          <c:x val="7.4146933819064967E-2"/>
          <c:y val="2.199818909099244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Greater public awareness of the issue</c:v>
                </c:pt>
                <c:pt idx="1">
                  <c:v>Change of behaviour</c:v>
                </c:pt>
                <c:pt idx="2">
                  <c:v>Change of attitude; reduced stigma</c:v>
                </c:pt>
                <c:pt idx="3">
                  <c:v>Improved services</c:v>
                </c:pt>
                <c:pt idx="4">
                  <c:v>Change in policy, law or regulation</c:v>
                </c:pt>
              </c:strCache>
            </c:strRef>
          </c:cat>
          <c:val>
            <c:numRef>
              <c:f>Sheet1!$B$2:$B$6</c:f>
              <c:numCache>
                <c:formatCode>0%</c:formatCode>
                <c:ptCount val="5"/>
                <c:pt idx="0">
                  <c:v>0.18478260869565216</c:v>
                </c:pt>
                <c:pt idx="1">
                  <c:v>0.17391304347826086</c:v>
                </c:pt>
                <c:pt idx="2">
                  <c:v>0.11956521739130435</c:v>
                </c:pt>
                <c:pt idx="3">
                  <c:v>7.6086956521739135E-2</c:v>
                </c:pt>
                <c:pt idx="4">
                  <c:v>6.5217391304347824E-2</c:v>
                </c:pt>
              </c:numCache>
            </c:numRef>
          </c:val>
        </c:ser>
        <c:dLbls>
          <c:dLblPos val="outEnd"/>
          <c:showLegendKey val="0"/>
          <c:showVal val="1"/>
          <c:showCatName val="0"/>
          <c:showSerName val="0"/>
          <c:showPercent val="0"/>
          <c:showBubbleSize val="0"/>
        </c:dLbls>
        <c:gapWidth val="150"/>
        <c:axId val="365225856"/>
        <c:axId val="365249280"/>
      </c:barChart>
      <c:catAx>
        <c:axId val="36522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5249280"/>
        <c:crosses val="autoZero"/>
        <c:auto val="1"/>
        <c:lblAlgn val="ctr"/>
        <c:lblOffset val="100"/>
        <c:noMultiLvlLbl val="0"/>
      </c:catAx>
      <c:valAx>
        <c:axId val="365249280"/>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2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ahoma" panose="020B0604030504040204" pitchFamily="34" charset="0"/>
                <a:ea typeface="Tahoma" panose="020B0604030504040204" pitchFamily="34" charset="0"/>
                <a:cs typeface="Tahoma" panose="020B0604030504040204" pitchFamily="34" charset="0"/>
              </a:rPr>
              <a:t>Origin</a:t>
            </a:r>
            <a:r>
              <a:rPr lang="en-US" baseline="0">
                <a:latin typeface="Tahoma" panose="020B0604030504040204" pitchFamily="34" charset="0"/>
                <a:ea typeface="Tahoma" panose="020B0604030504040204" pitchFamily="34" charset="0"/>
                <a:cs typeface="Tahoma" panose="020B0604030504040204" pitchFamily="34" charset="0"/>
              </a:rPr>
              <a:t> of SRHR case studies at the 2015 summit</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Zimbabwe</c:v>
                </c:pt>
                <c:pt idx="1">
                  <c:v>Madagascar</c:v>
                </c:pt>
                <c:pt idx="2">
                  <c:v>Botswana</c:v>
                </c:pt>
                <c:pt idx="3">
                  <c:v>South Africa</c:v>
                </c:pt>
                <c:pt idx="4">
                  <c:v>Mauritius</c:v>
                </c:pt>
                <c:pt idx="5">
                  <c:v>Swaziland</c:v>
                </c:pt>
                <c:pt idx="6">
                  <c:v>Namibia</c:v>
                </c:pt>
                <c:pt idx="7">
                  <c:v>Zambia</c:v>
                </c:pt>
                <c:pt idx="8">
                  <c:v>Lesotho</c:v>
                </c:pt>
                <c:pt idx="9">
                  <c:v>Mozambique</c:v>
                </c:pt>
                <c:pt idx="10">
                  <c:v>Malawi</c:v>
                </c:pt>
                <c:pt idx="11">
                  <c:v>Tanzania</c:v>
                </c:pt>
              </c:strCache>
            </c:strRef>
          </c:cat>
          <c:val>
            <c:numRef>
              <c:f>Sheet1!$B$2:$B$13</c:f>
              <c:numCache>
                <c:formatCode>General</c:formatCode>
                <c:ptCount val="12"/>
                <c:pt idx="0">
                  <c:v>25</c:v>
                </c:pt>
                <c:pt idx="1">
                  <c:v>21</c:v>
                </c:pt>
                <c:pt idx="2">
                  <c:v>8</c:v>
                </c:pt>
                <c:pt idx="3">
                  <c:v>8</c:v>
                </c:pt>
                <c:pt idx="4">
                  <c:v>7</c:v>
                </c:pt>
                <c:pt idx="5">
                  <c:v>6</c:v>
                </c:pt>
                <c:pt idx="6">
                  <c:v>5</c:v>
                </c:pt>
                <c:pt idx="7">
                  <c:v>5</c:v>
                </c:pt>
                <c:pt idx="8">
                  <c:v>3</c:v>
                </c:pt>
                <c:pt idx="9">
                  <c:v>3</c:v>
                </c:pt>
                <c:pt idx="10">
                  <c:v>2</c:v>
                </c:pt>
                <c:pt idx="11">
                  <c:v>1</c:v>
                </c:pt>
              </c:numCache>
            </c:numRef>
          </c:val>
        </c:ser>
        <c:dLbls>
          <c:dLblPos val="outEnd"/>
          <c:showLegendKey val="0"/>
          <c:showVal val="1"/>
          <c:showCatName val="0"/>
          <c:showSerName val="0"/>
          <c:showPercent val="0"/>
          <c:showBubbleSize val="0"/>
        </c:dLbls>
        <c:gapWidth val="100"/>
        <c:overlap val="-27"/>
        <c:axId val="365219840"/>
        <c:axId val="365221376"/>
      </c:barChart>
      <c:catAx>
        <c:axId val="36521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5221376"/>
        <c:crosses val="autoZero"/>
        <c:auto val="1"/>
        <c:lblAlgn val="ctr"/>
        <c:lblOffset val="100"/>
        <c:noMultiLvlLbl val="0"/>
      </c:catAx>
      <c:valAx>
        <c:axId val="36522137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latin typeface="Tahoma" panose="020B0604030504040204" pitchFamily="34" charset="0"/>
                <a:ea typeface="Tahoma" panose="020B0604030504040204" pitchFamily="34" charset="0"/>
                <a:cs typeface="Tahoma" panose="020B0604030504040204" pitchFamily="34" charset="0"/>
              </a:rPr>
              <a:t> </a:t>
            </a:r>
            <a:r>
              <a:rPr lang="en-US" sz="1100" b="1">
                <a:latin typeface="Tahoma" panose="020B0604030504040204" pitchFamily="34" charset="0"/>
                <a:ea typeface="Tahoma" panose="020B0604030504040204" pitchFamily="34" charset="0"/>
                <a:cs typeface="Tahoma" panose="020B0604030504040204" pitchFamily="34" charset="0"/>
              </a:rPr>
              <a:t>Type of organisation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Local government</c:v>
                </c:pt>
                <c:pt idx="1">
                  <c:v>Community Based Organisation</c:v>
                </c:pt>
                <c:pt idx="2">
                  <c:v>Non-Governmental Organisation</c:v>
                </c:pt>
                <c:pt idx="3">
                  <c:v>Government department/ministry</c:v>
                </c:pt>
                <c:pt idx="4">
                  <c:v>Faith based Organisation </c:v>
                </c:pt>
              </c:strCache>
            </c:strRef>
          </c:cat>
          <c:val>
            <c:numRef>
              <c:f>Sheet1!$B$2:$B$6</c:f>
              <c:numCache>
                <c:formatCode>0%</c:formatCode>
                <c:ptCount val="5"/>
                <c:pt idx="0">
                  <c:v>0.27</c:v>
                </c:pt>
                <c:pt idx="1">
                  <c:v>0.18</c:v>
                </c:pt>
                <c:pt idx="2">
                  <c:v>0.13</c:v>
                </c:pt>
                <c:pt idx="3">
                  <c:v>7.0000000000000007E-2</c:v>
                </c:pt>
                <c:pt idx="4">
                  <c:v>2.4390243902439025E-2</c:v>
                </c:pt>
              </c:numCache>
            </c:numRef>
          </c:val>
        </c:ser>
        <c:dLbls>
          <c:dLblPos val="outEnd"/>
          <c:showLegendKey val="0"/>
          <c:showVal val="1"/>
          <c:showCatName val="0"/>
          <c:showSerName val="0"/>
          <c:showPercent val="0"/>
          <c:showBubbleSize val="0"/>
        </c:dLbls>
        <c:gapWidth val="100"/>
        <c:overlap val="-27"/>
        <c:axId val="370126848"/>
        <c:axId val="370129536"/>
      </c:barChart>
      <c:catAx>
        <c:axId val="37012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70129536"/>
        <c:crosses val="autoZero"/>
        <c:auto val="1"/>
        <c:lblAlgn val="ctr"/>
        <c:lblOffset val="100"/>
        <c:noMultiLvlLbl val="0"/>
      </c:catAx>
      <c:valAx>
        <c:axId val="370129536"/>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2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sz="1200">
                <a:latin typeface="+mn-lt"/>
                <a:ea typeface="Tahoma" panose="020B0604030504040204" pitchFamily="34" charset="0"/>
                <a:cs typeface="Tahoma" panose="020B0604030504040204" pitchFamily="34" charset="0"/>
              </a:rPr>
              <a:t>Target</a:t>
            </a:r>
            <a:r>
              <a:rPr lang="en-ZA" sz="1200" baseline="0">
                <a:latin typeface="+mn-lt"/>
                <a:ea typeface="Tahoma" panose="020B0604030504040204" pitchFamily="34" charset="0"/>
                <a:cs typeface="Tahoma" panose="020B0604030504040204" pitchFamily="34" charset="0"/>
              </a:rPr>
              <a:t> groups in the Summit Case Studies</a:t>
            </a:r>
            <a:endParaRPr lang="en-ZA" sz="1200">
              <a:latin typeface="+mn-lt"/>
              <a:ea typeface="Tahoma" panose="020B0604030504040204" pitchFamily="34" charset="0"/>
              <a:cs typeface="Tahoma" panose="020B060403050404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905923344947737E-2"/>
          <c:y val="0.17156737055046525"/>
          <c:w val="0.55104447309939919"/>
          <c:h val="0.68262466580891268"/>
        </c:manualLayout>
      </c:layout>
      <c:pie3DChart>
        <c:varyColors val="1"/>
        <c:ser>
          <c:idx val="0"/>
          <c:order val="0"/>
          <c:explosion val="25"/>
          <c:dLbls>
            <c:dLblPos val="outEnd"/>
            <c:showLegendKey val="0"/>
            <c:showVal val="1"/>
            <c:showCatName val="0"/>
            <c:showSerName val="0"/>
            <c:showPercent val="0"/>
            <c:showBubbleSize val="0"/>
            <c:showLeaderLines val="1"/>
          </c:dLbls>
          <c:cat>
            <c:strRef>
              <c:f>'Target group'!$A$16:$A$19</c:f>
              <c:strCache>
                <c:ptCount val="4"/>
                <c:pt idx="0">
                  <c:v>Women </c:v>
                </c:pt>
                <c:pt idx="1">
                  <c:v>Men </c:v>
                </c:pt>
                <c:pt idx="2">
                  <c:v>Youth </c:v>
                </c:pt>
                <c:pt idx="3">
                  <c:v>Key populations: </c:v>
                </c:pt>
              </c:strCache>
            </c:strRef>
          </c:cat>
          <c:val>
            <c:numRef>
              <c:f>'Target group'!$B$16:$B$19</c:f>
              <c:numCache>
                <c:formatCode>0%</c:formatCode>
                <c:ptCount val="4"/>
                <c:pt idx="0">
                  <c:v>0.4</c:v>
                </c:pt>
                <c:pt idx="1">
                  <c:v>0.27</c:v>
                </c:pt>
                <c:pt idx="2">
                  <c:v>0.21</c:v>
                </c:pt>
                <c:pt idx="3">
                  <c:v>0.11504424778761062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555740898241379"/>
          <c:y val="0.17590946282203085"/>
          <c:w val="0.32351998683091443"/>
          <c:h val="0.518411986715784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2B562E-EFA4-4C53-A790-23E1DC15D48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2D077184-36C1-481A-BD4D-BA5015FB507B}">
      <dgm:prSet phldrT="[Text]" custT="1"/>
      <dgm:spPr>
        <a:xfrm>
          <a:off x="1725017" y="-60073"/>
          <a:ext cx="1157827" cy="75258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SADC Gender Protocol sets regional standards </a:t>
          </a:r>
        </a:p>
      </dgm:t>
    </dgm:pt>
    <dgm:pt modelId="{AA56FAE8-286F-4068-99E7-7F78E7A6C8DB}" type="parTrans" cxnId="{826AB228-88C6-4B4D-A4DA-91B3571DBD12}">
      <dgm:prSet/>
      <dgm:spPr/>
      <dgm:t>
        <a:bodyPr/>
        <a:lstStyle/>
        <a:p>
          <a:endParaRPr lang="en-ZA"/>
        </a:p>
      </dgm:t>
    </dgm:pt>
    <dgm:pt modelId="{66692D97-8F2D-4AAA-8A8D-1E6FDA985A9D}" type="sibTrans" cxnId="{826AB228-88C6-4B4D-A4DA-91B3571DBD12}">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A70DDA13-0C9E-4B43-B300-FD9D3A921861}">
      <dgm:prSet phldrT="[Text]" custT="1"/>
      <dgm:spPr>
        <a:xfrm>
          <a:off x="2867071" y="1117450"/>
          <a:ext cx="1358258" cy="8820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Countries and councils  champion targets at the  national and local  level</a:t>
          </a:r>
        </a:p>
      </dgm:t>
    </dgm:pt>
    <dgm:pt modelId="{D03A564E-3FD1-4BB5-813D-B065955D4AD1}" type="parTrans" cxnId="{9329AF66-92C1-4E26-9576-88ACD624C3B3}">
      <dgm:prSet/>
      <dgm:spPr/>
      <dgm:t>
        <a:bodyPr/>
        <a:lstStyle/>
        <a:p>
          <a:endParaRPr lang="en-ZA"/>
        </a:p>
      </dgm:t>
    </dgm:pt>
    <dgm:pt modelId="{8C3966F1-2611-4E93-BA4D-1AD237554551}" type="sibTrans" cxnId="{9329AF66-92C1-4E26-9576-88ACD624C3B3}">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73F9DE80-394B-44AC-AFAE-783150E5B6A4}">
      <dgm:prSet phldrT="[Text]" custT="1"/>
      <dgm:spPr>
        <a:xfrm>
          <a:off x="1549421" y="2302945"/>
          <a:ext cx="1509019" cy="99562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200">
              <a:solidFill>
                <a:sysClr val="window" lastClr="FFFFFF"/>
              </a:solidFill>
              <a:latin typeface="Calibri" panose="020F0502020204030204"/>
              <a:ea typeface="+mn-ea"/>
              <a:cs typeface="+mn-cs"/>
            </a:rPr>
            <a:t>Good practices gathered  and shared at district, national and regional  summits </a:t>
          </a:r>
        </a:p>
      </dgm:t>
    </dgm:pt>
    <dgm:pt modelId="{EE08A136-8EC1-4E66-A994-6E13E9F30726}" type="parTrans" cxnId="{60028DAC-E55C-4985-A063-DE10F31055F1}">
      <dgm:prSet/>
      <dgm:spPr/>
      <dgm:t>
        <a:bodyPr/>
        <a:lstStyle/>
        <a:p>
          <a:endParaRPr lang="en-ZA"/>
        </a:p>
      </dgm:t>
    </dgm:pt>
    <dgm:pt modelId="{EC8A4517-6B24-49AC-A26A-D379200E19BE}" type="sibTrans" cxnId="{60028DAC-E55C-4985-A063-DE10F31055F1}">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200555DA-29A5-4947-BE6B-B0E3DA24B3BD}">
      <dgm:prSet phldrT="[Text]" custT="1"/>
      <dgm:spPr>
        <a:xfrm>
          <a:off x="308569" y="1008306"/>
          <a:ext cx="1506182" cy="110036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Case studies analysed in the SADC Barometer, used to lobby  for stronger provisions </a:t>
          </a:r>
        </a:p>
      </dgm:t>
    </dgm:pt>
    <dgm:pt modelId="{CA33232E-A806-4B76-B52D-2229B07E10F1}" type="parTrans" cxnId="{D1697012-3662-40BE-A85A-A43F75611198}">
      <dgm:prSet/>
      <dgm:spPr/>
      <dgm:t>
        <a:bodyPr/>
        <a:lstStyle/>
        <a:p>
          <a:endParaRPr lang="en-ZA"/>
        </a:p>
      </dgm:t>
    </dgm:pt>
    <dgm:pt modelId="{C66C1A0E-865A-44B8-9BA1-6BB7749CDF99}" type="sibTrans" cxnId="{D1697012-3662-40BE-A85A-A43F75611198}">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C39A5FC6-7B4A-4A6B-99D0-61F12DF2AFE7}" type="pres">
      <dgm:prSet presAssocID="{512B562E-EFA4-4C53-A790-23E1DC15D486}" presName="cycle" presStyleCnt="0">
        <dgm:presLayoutVars>
          <dgm:dir/>
          <dgm:resizeHandles val="exact"/>
        </dgm:presLayoutVars>
      </dgm:prSet>
      <dgm:spPr/>
      <dgm:t>
        <a:bodyPr/>
        <a:lstStyle/>
        <a:p>
          <a:endParaRPr lang="en-ZA"/>
        </a:p>
      </dgm:t>
    </dgm:pt>
    <dgm:pt modelId="{6B5A755F-1BBE-4ED5-B7FE-AD3510DAD437}" type="pres">
      <dgm:prSet presAssocID="{2D077184-36C1-481A-BD4D-BA5015FB507B}" presName="node" presStyleLbl="node1" presStyleIdx="0" presStyleCnt="4">
        <dgm:presLayoutVars>
          <dgm:bulletEnabled val="1"/>
        </dgm:presLayoutVars>
      </dgm:prSet>
      <dgm:spPr>
        <a:prstGeom prst="roundRect">
          <a:avLst/>
        </a:prstGeom>
      </dgm:spPr>
      <dgm:t>
        <a:bodyPr/>
        <a:lstStyle/>
        <a:p>
          <a:endParaRPr lang="en-ZA"/>
        </a:p>
      </dgm:t>
    </dgm:pt>
    <dgm:pt modelId="{4E19A549-D7F6-44FB-8656-8E870365988A}" type="pres">
      <dgm:prSet presAssocID="{2D077184-36C1-481A-BD4D-BA5015FB507B}" presName="spNode" presStyleCnt="0"/>
      <dgm:spPr/>
    </dgm:pt>
    <dgm:pt modelId="{8708D5D4-134E-4676-B64F-964B0DA536BD}" type="pres">
      <dgm:prSet presAssocID="{66692D97-8F2D-4AAA-8A8D-1E6FDA985A9D}" presName="sibTrans" presStyleLbl="sibTrans1D1" presStyleIdx="0" presStyleCnt="4"/>
      <dgm:spPr>
        <a:custGeom>
          <a:avLst/>
          <a:gdLst/>
          <a:ahLst/>
          <a:cxnLst/>
          <a:rect l="0" t="0" r="0" b="0"/>
          <a:pathLst>
            <a:path>
              <a:moveTo>
                <a:pt x="1814218" y="216692"/>
              </a:moveTo>
              <a:arcTo wR="1144199" hR="1144199" stAng="18350629" swAng="1516634"/>
            </a:path>
          </a:pathLst>
        </a:custGeom>
      </dgm:spPr>
      <dgm:t>
        <a:bodyPr/>
        <a:lstStyle/>
        <a:p>
          <a:endParaRPr lang="en-ZA"/>
        </a:p>
      </dgm:t>
    </dgm:pt>
    <dgm:pt modelId="{F1A35E3E-60E6-4D1F-9C4E-E1AD788FC705}" type="pres">
      <dgm:prSet presAssocID="{A70DDA13-0C9E-4B43-B300-FD9D3A921861}" presName="node" presStyleLbl="node1" presStyleIdx="1" presStyleCnt="4" custScaleX="117311" custScaleY="117206">
        <dgm:presLayoutVars>
          <dgm:bulletEnabled val="1"/>
        </dgm:presLayoutVars>
      </dgm:prSet>
      <dgm:spPr>
        <a:prstGeom prst="roundRect">
          <a:avLst/>
        </a:prstGeom>
      </dgm:spPr>
      <dgm:t>
        <a:bodyPr/>
        <a:lstStyle/>
        <a:p>
          <a:endParaRPr lang="en-ZA"/>
        </a:p>
      </dgm:t>
    </dgm:pt>
    <dgm:pt modelId="{0C0D856E-2496-4EAC-87F9-E2C239C545B4}" type="pres">
      <dgm:prSet presAssocID="{A70DDA13-0C9E-4B43-B300-FD9D3A921861}" presName="spNode" presStyleCnt="0"/>
      <dgm:spPr/>
    </dgm:pt>
    <dgm:pt modelId="{280D7640-54A7-4FF8-9FEB-1DCF8EC891A8}" type="pres">
      <dgm:prSet presAssocID="{8C3966F1-2611-4E93-BA4D-1AD237554551}" presName="sibTrans" presStyleLbl="sibTrans1D1" presStyleIdx="1" presStyleCnt="4"/>
      <dgm:spPr>
        <a:custGeom>
          <a:avLst/>
          <a:gdLst/>
          <a:ahLst/>
          <a:cxnLst/>
          <a:rect l="0" t="0" r="0" b="0"/>
          <a:pathLst>
            <a:path>
              <a:moveTo>
                <a:pt x="2163166" y="1664681"/>
              </a:moveTo>
              <a:arcTo wR="1144199" hR="1144199" stAng="1623460" swAng="1159321"/>
            </a:path>
          </a:pathLst>
        </a:custGeom>
      </dgm:spPr>
      <dgm:t>
        <a:bodyPr/>
        <a:lstStyle/>
        <a:p>
          <a:endParaRPr lang="en-ZA"/>
        </a:p>
      </dgm:t>
    </dgm:pt>
    <dgm:pt modelId="{80B6A837-F8FA-4BBD-8B1B-10D260A64FCD}" type="pres">
      <dgm:prSet presAssocID="{73F9DE80-394B-44AC-AFAE-783150E5B6A4}" presName="node" presStyleLbl="node1" presStyleIdx="2" presStyleCnt="4" custScaleX="130332" custScaleY="132294">
        <dgm:presLayoutVars>
          <dgm:bulletEnabled val="1"/>
        </dgm:presLayoutVars>
      </dgm:prSet>
      <dgm:spPr>
        <a:prstGeom prst="roundRect">
          <a:avLst/>
        </a:prstGeom>
      </dgm:spPr>
      <dgm:t>
        <a:bodyPr/>
        <a:lstStyle/>
        <a:p>
          <a:endParaRPr lang="en-ZA"/>
        </a:p>
      </dgm:t>
    </dgm:pt>
    <dgm:pt modelId="{F2073EA2-0BB0-4275-927E-C0ADB1C28536}" type="pres">
      <dgm:prSet presAssocID="{73F9DE80-394B-44AC-AFAE-783150E5B6A4}" presName="spNode" presStyleCnt="0"/>
      <dgm:spPr/>
    </dgm:pt>
    <dgm:pt modelId="{F965AC39-96D1-42C1-8F40-8DB7403C2A17}" type="pres">
      <dgm:prSet presAssocID="{EC8A4517-6B24-49AC-A26A-D379200E19BE}" presName="sibTrans" presStyleLbl="sibTrans1D1" presStyleIdx="2" presStyleCnt="4"/>
      <dgm:spPr>
        <a:custGeom>
          <a:avLst/>
          <a:gdLst/>
          <a:ahLst/>
          <a:cxnLst/>
          <a:rect l="0" t="0" r="0" b="0"/>
          <a:pathLst>
            <a:path>
              <a:moveTo>
                <a:pt x="370312" y="1986987"/>
              </a:moveTo>
              <a:arcTo wR="1144199" hR="1144199" stAng="7953578" swAng="957758"/>
            </a:path>
          </a:pathLst>
        </a:custGeom>
      </dgm:spPr>
      <dgm:t>
        <a:bodyPr/>
        <a:lstStyle/>
        <a:p>
          <a:endParaRPr lang="en-ZA"/>
        </a:p>
      </dgm:t>
    </dgm:pt>
    <dgm:pt modelId="{3C65BE0E-815E-4180-9C0A-D40C60AFEB36}" type="pres">
      <dgm:prSet presAssocID="{200555DA-29A5-4947-BE6B-B0E3DA24B3BD}" presName="node" presStyleLbl="node1" presStyleIdx="3" presStyleCnt="4" custScaleX="130087" custScaleY="146211">
        <dgm:presLayoutVars>
          <dgm:bulletEnabled val="1"/>
        </dgm:presLayoutVars>
      </dgm:prSet>
      <dgm:spPr>
        <a:prstGeom prst="roundRect">
          <a:avLst/>
        </a:prstGeom>
      </dgm:spPr>
      <dgm:t>
        <a:bodyPr/>
        <a:lstStyle/>
        <a:p>
          <a:endParaRPr lang="en-ZA"/>
        </a:p>
      </dgm:t>
    </dgm:pt>
    <dgm:pt modelId="{E9267B2F-07BF-443E-8D4F-710C5EAE3DB7}" type="pres">
      <dgm:prSet presAssocID="{200555DA-29A5-4947-BE6B-B0E3DA24B3BD}" presName="spNode" presStyleCnt="0"/>
      <dgm:spPr/>
    </dgm:pt>
    <dgm:pt modelId="{6C896F70-5E5E-4874-A039-F7B21756E615}" type="pres">
      <dgm:prSet presAssocID="{C66C1A0E-865A-44B8-9BA1-6BB7749CDF99}" presName="sibTrans" presStyleLbl="sibTrans1D1" presStyleIdx="3" presStyleCnt="4"/>
      <dgm:spPr>
        <a:custGeom>
          <a:avLst/>
          <a:gdLst/>
          <a:ahLst/>
          <a:cxnLst/>
          <a:rect l="0" t="0" r="0" b="0"/>
          <a:pathLst>
            <a:path>
              <a:moveTo>
                <a:pt x="188152" y="515577"/>
              </a:moveTo>
              <a:arcTo wR="1144199" hR="1144199" stAng="12799549" swAng="1311853"/>
            </a:path>
          </a:pathLst>
        </a:custGeom>
      </dgm:spPr>
      <dgm:t>
        <a:bodyPr/>
        <a:lstStyle/>
        <a:p>
          <a:endParaRPr lang="en-ZA"/>
        </a:p>
      </dgm:t>
    </dgm:pt>
  </dgm:ptLst>
  <dgm:cxnLst>
    <dgm:cxn modelId="{D7799372-9EF2-4F85-8400-AC6274FDBD3E}" type="presOf" srcId="{C66C1A0E-865A-44B8-9BA1-6BB7749CDF99}" destId="{6C896F70-5E5E-4874-A039-F7B21756E615}" srcOrd="0" destOrd="0" presId="urn:microsoft.com/office/officeart/2005/8/layout/cycle5"/>
    <dgm:cxn modelId="{860D5E5E-B97F-4CB9-9A5F-CABECC71C188}" type="presOf" srcId="{A70DDA13-0C9E-4B43-B300-FD9D3A921861}" destId="{F1A35E3E-60E6-4D1F-9C4E-E1AD788FC705}" srcOrd="0" destOrd="0" presId="urn:microsoft.com/office/officeart/2005/8/layout/cycle5"/>
    <dgm:cxn modelId="{D1697012-3662-40BE-A85A-A43F75611198}" srcId="{512B562E-EFA4-4C53-A790-23E1DC15D486}" destId="{200555DA-29A5-4947-BE6B-B0E3DA24B3BD}" srcOrd="3" destOrd="0" parTransId="{CA33232E-A806-4B76-B52D-2229B07E10F1}" sibTransId="{C66C1A0E-865A-44B8-9BA1-6BB7749CDF99}"/>
    <dgm:cxn modelId="{B801FBA9-57FA-474C-A697-897AFD994E63}" type="presOf" srcId="{EC8A4517-6B24-49AC-A26A-D379200E19BE}" destId="{F965AC39-96D1-42C1-8F40-8DB7403C2A17}" srcOrd="0" destOrd="0" presId="urn:microsoft.com/office/officeart/2005/8/layout/cycle5"/>
    <dgm:cxn modelId="{C1B5685D-314E-4E25-8C60-0B73E485A94B}" type="presOf" srcId="{2D077184-36C1-481A-BD4D-BA5015FB507B}" destId="{6B5A755F-1BBE-4ED5-B7FE-AD3510DAD437}" srcOrd="0" destOrd="0" presId="urn:microsoft.com/office/officeart/2005/8/layout/cycle5"/>
    <dgm:cxn modelId="{826AB228-88C6-4B4D-A4DA-91B3571DBD12}" srcId="{512B562E-EFA4-4C53-A790-23E1DC15D486}" destId="{2D077184-36C1-481A-BD4D-BA5015FB507B}" srcOrd="0" destOrd="0" parTransId="{AA56FAE8-286F-4068-99E7-7F78E7A6C8DB}" sibTransId="{66692D97-8F2D-4AAA-8A8D-1E6FDA985A9D}"/>
    <dgm:cxn modelId="{844D91F0-BD63-4AFD-ADA8-CE56A814AAC0}" type="presOf" srcId="{66692D97-8F2D-4AAA-8A8D-1E6FDA985A9D}" destId="{8708D5D4-134E-4676-B64F-964B0DA536BD}" srcOrd="0" destOrd="0" presId="urn:microsoft.com/office/officeart/2005/8/layout/cycle5"/>
    <dgm:cxn modelId="{1199C317-83C1-4B2B-8530-D8463DE2F1BC}" type="presOf" srcId="{73F9DE80-394B-44AC-AFAE-783150E5B6A4}" destId="{80B6A837-F8FA-4BBD-8B1B-10D260A64FCD}" srcOrd="0" destOrd="0" presId="urn:microsoft.com/office/officeart/2005/8/layout/cycle5"/>
    <dgm:cxn modelId="{14196FB3-83D6-416B-A945-9EE77CC50427}" type="presOf" srcId="{200555DA-29A5-4947-BE6B-B0E3DA24B3BD}" destId="{3C65BE0E-815E-4180-9C0A-D40C60AFEB36}" srcOrd="0" destOrd="0" presId="urn:microsoft.com/office/officeart/2005/8/layout/cycle5"/>
    <dgm:cxn modelId="{9329AF66-92C1-4E26-9576-88ACD624C3B3}" srcId="{512B562E-EFA4-4C53-A790-23E1DC15D486}" destId="{A70DDA13-0C9E-4B43-B300-FD9D3A921861}" srcOrd="1" destOrd="0" parTransId="{D03A564E-3FD1-4BB5-813D-B065955D4AD1}" sibTransId="{8C3966F1-2611-4E93-BA4D-1AD237554551}"/>
    <dgm:cxn modelId="{60028DAC-E55C-4985-A063-DE10F31055F1}" srcId="{512B562E-EFA4-4C53-A790-23E1DC15D486}" destId="{73F9DE80-394B-44AC-AFAE-783150E5B6A4}" srcOrd="2" destOrd="0" parTransId="{EE08A136-8EC1-4E66-A994-6E13E9F30726}" sibTransId="{EC8A4517-6B24-49AC-A26A-D379200E19BE}"/>
    <dgm:cxn modelId="{53FA1B90-9AE0-4FEB-8FA6-1599C5A8689D}" type="presOf" srcId="{8C3966F1-2611-4E93-BA4D-1AD237554551}" destId="{280D7640-54A7-4FF8-9FEB-1DCF8EC891A8}" srcOrd="0" destOrd="0" presId="urn:microsoft.com/office/officeart/2005/8/layout/cycle5"/>
    <dgm:cxn modelId="{3FB22CDD-6552-4876-978F-8BA6C8365AA2}" type="presOf" srcId="{512B562E-EFA4-4C53-A790-23E1DC15D486}" destId="{C39A5FC6-7B4A-4A6B-99D0-61F12DF2AFE7}" srcOrd="0" destOrd="0" presId="urn:microsoft.com/office/officeart/2005/8/layout/cycle5"/>
    <dgm:cxn modelId="{B22D6DFA-97E8-4DC9-9A22-3C5CB48CD26A}" type="presParOf" srcId="{C39A5FC6-7B4A-4A6B-99D0-61F12DF2AFE7}" destId="{6B5A755F-1BBE-4ED5-B7FE-AD3510DAD437}" srcOrd="0" destOrd="0" presId="urn:microsoft.com/office/officeart/2005/8/layout/cycle5"/>
    <dgm:cxn modelId="{DA6793AF-966B-48F5-A34E-4B715EF52D53}" type="presParOf" srcId="{C39A5FC6-7B4A-4A6B-99D0-61F12DF2AFE7}" destId="{4E19A549-D7F6-44FB-8656-8E870365988A}" srcOrd="1" destOrd="0" presId="urn:microsoft.com/office/officeart/2005/8/layout/cycle5"/>
    <dgm:cxn modelId="{4CCE3EDD-453A-49D1-BCFC-C654E6528FF5}" type="presParOf" srcId="{C39A5FC6-7B4A-4A6B-99D0-61F12DF2AFE7}" destId="{8708D5D4-134E-4676-B64F-964B0DA536BD}" srcOrd="2" destOrd="0" presId="urn:microsoft.com/office/officeart/2005/8/layout/cycle5"/>
    <dgm:cxn modelId="{9389CFE8-DF97-4601-987D-FC886C3E5251}" type="presParOf" srcId="{C39A5FC6-7B4A-4A6B-99D0-61F12DF2AFE7}" destId="{F1A35E3E-60E6-4D1F-9C4E-E1AD788FC705}" srcOrd="3" destOrd="0" presId="urn:microsoft.com/office/officeart/2005/8/layout/cycle5"/>
    <dgm:cxn modelId="{183AD85B-64CF-45C2-8A74-66E2E7060FF7}" type="presParOf" srcId="{C39A5FC6-7B4A-4A6B-99D0-61F12DF2AFE7}" destId="{0C0D856E-2496-4EAC-87F9-E2C239C545B4}" srcOrd="4" destOrd="0" presId="urn:microsoft.com/office/officeart/2005/8/layout/cycle5"/>
    <dgm:cxn modelId="{079D9131-1B51-4ED9-B62F-D738FBAC5C57}" type="presParOf" srcId="{C39A5FC6-7B4A-4A6B-99D0-61F12DF2AFE7}" destId="{280D7640-54A7-4FF8-9FEB-1DCF8EC891A8}" srcOrd="5" destOrd="0" presId="urn:microsoft.com/office/officeart/2005/8/layout/cycle5"/>
    <dgm:cxn modelId="{6FA82CBF-2430-4E6A-B48F-FAEEE5E21950}" type="presParOf" srcId="{C39A5FC6-7B4A-4A6B-99D0-61F12DF2AFE7}" destId="{80B6A837-F8FA-4BBD-8B1B-10D260A64FCD}" srcOrd="6" destOrd="0" presId="urn:microsoft.com/office/officeart/2005/8/layout/cycle5"/>
    <dgm:cxn modelId="{75DC98C2-7637-4A99-9929-2EA462454D2F}" type="presParOf" srcId="{C39A5FC6-7B4A-4A6B-99D0-61F12DF2AFE7}" destId="{F2073EA2-0BB0-4275-927E-C0ADB1C28536}" srcOrd="7" destOrd="0" presId="urn:microsoft.com/office/officeart/2005/8/layout/cycle5"/>
    <dgm:cxn modelId="{5318D34E-4CBC-4078-A28A-5D5C97B401C5}" type="presParOf" srcId="{C39A5FC6-7B4A-4A6B-99D0-61F12DF2AFE7}" destId="{F965AC39-96D1-42C1-8F40-8DB7403C2A17}" srcOrd="8" destOrd="0" presId="urn:microsoft.com/office/officeart/2005/8/layout/cycle5"/>
    <dgm:cxn modelId="{0BEDDC8C-ECD6-4A76-8C91-527AFEDF8ECF}" type="presParOf" srcId="{C39A5FC6-7B4A-4A6B-99D0-61F12DF2AFE7}" destId="{3C65BE0E-815E-4180-9C0A-D40C60AFEB36}" srcOrd="9" destOrd="0" presId="urn:microsoft.com/office/officeart/2005/8/layout/cycle5"/>
    <dgm:cxn modelId="{F4868B0E-5FC2-4F02-88E3-A971959A8C6E}" type="presParOf" srcId="{C39A5FC6-7B4A-4A6B-99D0-61F12DF2AFE7}" destId="{E9267B2F-07BF-443E-8D4F-710C5EAE3DB7}" srcOrd="10" destOrd="0" presId="urn:microsoft.com/office/officeart/2005/8/layout/cycle5"/>
    <dgm:cxn modelId="{618414EA-E17B-4262-8541-2064B03A6728}" type="presParOf" srcId="{C39A5FC6-7B4A-4A6B-99D0-61F12DF2AFE7}" destId="{6C896F70-5E5E-4874-A039-F7B21756E615}" srcOrd="11"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B562E-EFA4-4C53-A790-23E1DC15D48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2D077184-36C1-481A-BD4D-BA5015FB507B}">
      <dgm:prSet phldrT="[Text]" custT="1"/>
      <dgm:spPr>
        <a:xfrm>
          <a:off x="1725017" y="-60073"/>
          <a:ext cx="1157827" cy="75258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SADC Gender Protocol sets regional standards </a:t>
          </a:r>
        </a:p>
      </dgm:t>
    </dgm:pt>
    <dgm:pt modelId="{AA56FAE8-286F-4068-99E7-7F78E7A6C8DB}" type="parTrans" cxnId="{826AB228-88C6-4B4D-A4DA-91B3571DBD12}">
      <dgm:prSet/>
      <dgm:spPr/>
      <dgm:t>
        <a:bodyPr/>
        <a:lstStyle/>
        <a:p>
          <a:endParaRPr lang="en-ZA"/>
        </a:p>
      </dgm:t>
    </dgm:pt>
    <dgm:pt modelId="{66692D97-8F2D-4AAA-8A8D-1E6FDA985A9D}" type="sibTrans" cxnId="{826AB228-88C6-4B4D-A4DA-91B3571DBD12}">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A70DDA13-0C9E-4B43-B300-FD9D3A921861}">
      <dgm:prSet phldrT="[Text]" custT="1"/>
      <dgm:spPr>
        <a:xfrm>
          <a:off x="2867071" y="1117450"/>
          <a:ext cx="1358258" cy="8820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Countries and councils  champion targets at the  national and local  level</a:t>
          </a:r>
        </a:p>
      </dgm:t>
    </dgm:pt>
    <dgm:pt modelId="{D03A564E-3FD1-4BB5-813D-B065955D4AD1}" type="parTrans" cxnId="{9329AF66-92C1-4E26-9576-88ACD624C3B3}">
      <dgm:prSet/>
      <dgm:spPr/>
      <dgm:t>
        <a:bodyPr/>
        <a:lstStyle/>
        <a:p>
          <a:endParaRPr lang="en-ZA"/>
        </a:p>
      </dgm:t>
    </dgm:pt>
    <dgm:pt modelId="{8C3966F1-2611-4E93-BA4D-1AD237554551}" type="sibTrans" cxnId="{9329AF66-92C1-4E26-9576-88ACD624C3B3}">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73F9DE80-394B-44AC-AFAE-783150E5B6A4}">
      <dgm:prSet phldrT="[Text]" custT="1"/>
      <dgm:spPr>
        <a:xfrm>
          <a:off x="1549421" y="2302945"/>
          <a:ext cx="1509019" cy="99562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200">
              <a:solidFill>
                <a:sysClr val="window" lastClr="FFFFFF"/>
              </a:solidFill>
              <a:latin typeface="Calibri" panose="020F0502020204030204"/>
              <a:ea typeface="+mn-ea"/>
              <a:cs typeface="+mn-cs"/>
            </a:rPr>
            <a:t>Good practices gathered  and shared at district, national and regional  summits </a:t>
          </a:r>
        </a:p>
      </dgm:t>
    </dgm:pt>
    <dgm:pt modelId="{EE08A136-8EC1-4E66-A994-6E13E9F30726}" type="parTrans" cxnId="{60028DAC-E55C-4985-A063-DE10F31055F1}">
      <dgm:prSet/>
      <dgm:spPr/>
      <dgm:t>
        <a:bodyPr/>
        <a:lstStyle/>
        <a:p>
          <a:endParaRPr lang="en-ZA"/>
        </a:p>
      </dgm:t>
    </dgm:pt>
    <dgm:pt modelId="{EC8A4517-6B24-49AC-A26A-D379200E19BE}" type="sibTrans" cxnId="{60028DAC-E55C-4985-A063-DE10F31055F1}">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200555DA-29A5-4947-BE6B-B0E3DA24B3BD}">
      <dgm:prSet phldrT="[Text]" custT="1"/>
      <dgm:spPr>
        <a:xfrm>
          <a:off x="308569" y="1008306"/>
          <a:ext cx="1506182" cy="110036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Case studies analysed in the SADC Barometer, used to lobby  for stronger provisions </a:t>
          </a:r>
        </a:p>
      </dgm:t>
    </dgm:pt>
    <dgm:pt modelId="{CA33232E-A806-4B76-B52D-2229B07E10F1}" type="parTrans" cxnId="{D1697012-3662-40BE-A85A-A43F75611198}">
      <dgm:prSet/>
      <dgm:spPr/>
      <dgm:t>
        <a:bodyPr/>
        <a:lstStyle/>
        <a:p>
          <a:endParaRPr lang="en-ZA"/>
        </a:p>
      </dgm:t>
    </dgm:pt>
    <dgm:pt modelId="{C66C1A0E-865A-44B8-9BA1-6BB7749CDF99}" type="sibTrans" cxnId="{D1697012-3662-40BE-A85A-A43F75611198}">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C39A5FC6-7B4A-4A6B-99D0-61F12DF2AFE7}" type="pres">
      <dgm:prSet presAssocID="{512B562E-EFA4-4C53-A790-23E1DC15D486}" presName="cycle" presStyleCnt="0">
        <dgm:presLayoutVars>
          <dgm:dir/>
          <dgm:resizeHandles val="exact"/>
        </dgm:presLayoutVars>
      </dgm:prSet>
      <dgm:spPr/>
      <dgm:t>
        <a:bodyPr/>
        <a:lstStyle/>
        <a:p>
          <a:endParaRPr lang="en-ZA"/>
        </a:p>
      </dgm:t>
    </dgm:pt>
    <dgm:pt modelId="{6B5A755F-1BBE-4ED5-B7FE-AD3510DAD437}" type="pres">
      <dgm:prSet presAssocID="{2D077184-36C1-481A-BD4D-BA5015FB507B}" presName="node" presStyleLbl="node1" presStyleIdx="0" presStyleCnt="4">
        <dgm:presLayoutVars>
          <dgm:bulletEnabled val="1"/>
        </dgm:presLayoutVars>
      </dgm:prSet>
      <dgm:spPr>
        <a:prstGeom prst="roundRect">
          <a:avLst/>
        </a:prstGeom>
      </dgm:spPr>
      <dgm:t>
        <a:bodyPr/>
        <a:lstStyle/>
        <a:p>
          <a:endParaRPr lang="en-ZA"/>
        </a:p>
      </dgm:t>
    </dgm:pt>
    <dgm:pt modelId="{4E19A549-D7F6-44FB-8656-8E870365988A}" type="pres">
      <dgm:prSet presAssocID="{2D077184-36C1-481A-BD4D-BA5015FB507B}" presName="spNode" presStyleCnt="0"/>
      <dgm:spPr/>
    </dgm:pt>
    <dgm:pt modelId="{8708D5D4-134E-4676-B64F-964B0DA536BD}" type="pres">
      <dgm:prSet presAssocID="{66692D97-8F2D-4AAA-8A8D-1E6FDA985A9D}" presName="sibTrans" presStyleLbl="sibTrans1D1" presStyleIdx="0" presStyleCnt="4"/>
      <dgm:spPr>
        <a:custGeom>
          <a:avLst/>
          <a:gdLst/>
          <a:ahLst/>
          <a:cxnLst/>
          <a:rect l="0" t="0" r="0" b="0"/>
          <a:pathLst>
            <a:path>
              <a:moveTo>
                <a:pt x="1814218" y="216692"/>
              </a:moveTo>
              <a:arcTo wR="1144199" hR="1144199" stAng="18350629" swAng="1516634"/>
            </a:path>
          </a:pathLst>
        </a:custGeom>
      </dgm:spPr>
      <dgm:t>
        <a:bodyPr/>
        <a:lstStyle/>
        <a:p>
          <a:endParaRPr lang="en-ZA"/>
        </a:p>
      </dgm:t>
    </dgm:pt>
    <dgm:pt modelId="{F1A35E3E-60E6-4D1F-9C4E-E1AD788FC705}" type="pres">
      <dgm:prSet presAssocID="{A70DDA13-0C9E-4B43-B300-FD9D3A921861}" presName="node" presStyleLbl="node1" presStyleIdx="1" presStyleCnt="4" custScaleX="117311" custScaleY="117206">
        <dgm:presLayoutVars>
          <dgm:bulletEnabled val="1"/>
        </dgm:presLayoutVars>
      </dgm:prSet>
      <dgm:spPr>
        <a:prstGeom prst="roundRect">
          <a:avLst/>
        </a:prstGeom>
      </dgm:spPr>
      <dgm:t>
        <a:bodyPr/>
        <a:lstStyle/>
        <a:p>
          <a:endParaRPr lang="en-ZA"/>
        </a:p>
      </dgm:t>
    </dgm:pt>
    <dgm:pt modelId="{0C0D856E-2496-4EAC-87F9-E2C239C545B4}" type="pres">
      <dgm:prSet presAssocID="{A70DDA13-0C9E-4B43-B300-FD9D3A921861}" presName="spNode" presStyleCnt="0"/>
      <dgm:spPr/>
    </dgm:pt>
    <dgm:pt modelId="{280D7640-54A7-4FF8-9FEB-1DCF8EC891A8}" type="pres">
      <dgm:prSet presAssocID="{8C3966F1-2611-4E93-BA4D-1AD237554551}" presName="sibTrans" presStyleLbl="sibTrans1D1" presStyleIdx="1" presStyleCnt="4"/>
      <dgm:spPr>
        <a:custGeom>
          <a:avLst/>
          <a:gdLst/>
          <a:ahLst/>
          <a:cxnLst/>
          <a:rect l="0" t="0" r="0" b="0"/>
          <a:pathLst>
            <a:path>
              <a:moveTo>
                <a:pt x="2163166" y="1664681"/>
              </a:moveTo>
              <a:arcTo wR="1144199" hR="1144199" stAng="1623460" swAng="1159321"/>
            </a:path>
          </a:pathLst>
        </a:custGeom>
      </dgm:spPr>
      <dgm:t>
        <a:bodyPr/>
        <a:lstStyle/>
        <a:p>
          <a:endParaRPr lang="en-ZA"/>
        </a:p>
      </dgm:t>
    </dgm:pt>
    <dgm:pt modelId="{80B6A837-F8FA-4BBD-8B1B-10D260A64FCD}" type="pres">
      <dgm:prSet presAssocID="{73F9DE80-394B-44AC-AFAE-783150E5B6A4}" presName="node" presStyleLbl="node1" presStyleIdx="2" presStyleCnt="4" custScaleX="130332" custScaleY="132294">
        <dgm:presLayoutVars>
          <dgm:bulletEnabled val="1"/>
        </dgm:presLayoutVars>
      </dgm:prSet>
      <dgm:spPr>
        <a:prstGeom prst="roundRect">
          <a:avLst/>
        </a:prstGeom>
      </dgm:spPr>
      <dgm:t>
        <a:bodyPr/>
        <a:lstStyle/>
        <a:p>
          <a:endParaRPr lang="en-ZA"/>
        </a:p>
      </dgm:t>
    </dgm:pt>
    <dgm:pt modelId="{F2073EA2-0BB0-4275-927E-C0ADB1C28536}" type="pres">
      <dgm:prSet presAssocID="{73F9DE80-394B-44AC-AFAE-783150E5B6A4}" presName="spNode" presStyleCnt="0"/>
      <dgm:spPr/>
    </dgm:pt>
    <dgm:pt modelId="{F965AC39-96D1-42C1-8F40-8DB7403C2A17}" type="pres">
      <dgm:prSet presAssocID="{EC8A4517-6B24-49AC-A26A-D379200E19BE}" presName="sibTrans" presStyleLbl="sibTrans1D1" presStyleIdx="2" presStyleCnt="4"/>
      <dgm:spPr>
        <a:custGeom>
          <a:avLst/>
          <a:gdLst/>
          <a:ahLst/>
          <a:cxnLst/>
          <a:rect l="0" t="0" r="0" b="0"/>
          <a:pathLst>
            <a:path>
              <a:moveTo>
                <a:pt x="370312" y="1986987"/>
              </a:moveTo>
              <a:arcTo wR="1144199" hR="1144199" stAng="7953578" swAng="957758"/>
            </a:path>
          </a:pathLst>
        </a:custGeom>
      </dgm:spPr>
      <dgm:t>
        <a:bodyPr/>
        <a:lstStyle/>
        <a:p>
          <a:endParaRPr lang="en-ZA"/>
        </a:p>
      </dgm:t>
    </dgm:pt>
    <dgm:pt modelId="{3C65BE0E-815E-4180-9C0A-D40C60AFEB36}" type="pres">
      <dgm:prSet presAssocID="{200555DA-29A5-4947-BE6B-B0E3DA24B3BD}" presName="node" presStyleLbl="node1" presStyleIdx="3" presStyleCnt="4" custScaleX="130087" custScaleY="146211">
        <dgm:presLayoutVars>
          <dgm:bulletEnabled val="1"/>
        </dgm:presLayoutVars>
      </dgm:prSet>
      <dgm:spPr>
        <a:prstGeom prst="roundRect">
          <a:avLst/>
        </a:prstGeom>
      </dgm:spPr>
      <dgm:t>
        <a:bodyPr/>
        <a:lstStyle/>
        <a:p>
          <a:endParaRPr lang="en-ZA"/>
        </a:p>
      </dgm:t>
    </dgm:pt>
    <dgm:pt modelId="{E9267B2F-07BF-443E-8D4F-710C5EAE3DB7}" type="pres">
      <dgm:prSet presAssocID="{200555DA-29A5-4947-BE6B-B0E3DA24B3BD}" presName="spNode" presStyleCnt="0"/>
      <dgm:spPr/>
    </dgm:pt>
    <dgm:pt modelId="{6C896F70-5E5E-4874-A039-F7B21756E615}" type="pres">
      <dgm:prSet presAssocID="{C66C1A0E-865A-44B8-9BA1-6BB7749CDF99}" presName="sibTrans" presStyleLbl="sibTrans1D1" presStyleIdx="3" presStyleCnt="4"/>
      <dgm:spPr>
        <a:custGeom>
          <a:avLst/>
          <a:gdLst/>
          <a:ahLst/>
          <a:cxnLst/>
          <a:rect l="0" t="0" r="0" b="0"/>
          <a:pathLst>
            <a:path>
              <a:moveTo>
                <a:pt x="188152" y="515577"/>
              </a:moveTo>
              <a:arcTo wR="1144199" hR="1144199" stAng="12799549" swAng="1311853"/>
            </a:path>
          </a:pathLst>
        </a:custGeom>
      </dgm:spPr>
      <dgm:t>
        <a:bodyPr/>
        <a:lstStyle/>
        <a:p>
          <a:endParaRPr lang="en-ZA"/>
        </a:p>
      </dgm:t>
    </dgm:pt>
  </dgm:ptLst>
  <dgm:cxnLst>
    <dgm:cxn modelId="{D1697012-3662-40BE-A85A-A43F75611198}" srcId="{512B562E-EFA4-4C53-A790-23E1DC15D486}" destId="{200555DA-29A5-4947-BE6B-B0E3DA24B3BD}" srcOrd="3" destOrd="0" parTransId="{CA33232E-A806-4B76-B52D-2229B07E10F1}" sibTransId="{C66C1A0E-865A-44B8-9BA1-6BB7749CDF99}"/>
    <dgm:cxn modelId="{5E62B24B-945C-4645-8F72-29BB2ED16FEB}" type="presOf" srcId="{EC8A4517-6B24-49AC-A26A-D379200E19BE}" destId="{F965AC39-96D1-42C1-8F40-8DB7403C2A17}" srcOrd="0" destOrd="0" presId="urn:microsoft.com/office/officeart/2005/8/layout/cycle5"/>
    <dgm:cxn modelId="{713170A7-494F-4DE7-92E4-CD58357FEE3D}" type="presOf" srcId="{8C3966F1-2611-4E93-BA4D-1AD237554551}" destId="{280D7640-54A7-4FF8-9FEB-1DCF8EC891A8}" srcOrd="0" destOrd="0" presId="urn:microsoft.com/office/officeart/2005/8/layout/cycle5"/>
    <dgm:cxn modelId="{5EC9937C-5845-4D28-99DE-BD508FFCF9DD}" type="presOf" srcId="{73F9DE80-394B-44AC-AFAE-783150E5B6A4}" destId="{80B6A837-F8FA-4BBD-8B1B-10D260A64FCD}" srcOrd="0" destOrd="0" presId="urn:microsoft.com/office/officeart/2005/8/layout/cycle5"/>
    <dgm:cxn modelId="{44C201D4-8637-425B-9607-6C0A3A866DD7}" type="presOf" srcId="{A70DDA13-0C9E-4B43-B300-FD9D3A921861}" destId="{F1A35E3E-60E6-4D1F-9C4E-E1AD788FC705}" srcOrd="0" destOrd="0" presId="urn:microsoft.com/office/officeart/2005/8/layout/cycle5"/>
    <dgm:cxn modelId="{826AB228-88C6-4B4D-A4DA-91B3571DBD12}" srcId="{512B562E-EFA4-4C53-A790-23E1DC15D486}" destId="{2D077184-36C1-481A-BD4D-BA5015FB507B}" srcOrd="0" destOrd="0" parTransId="{AA56FAE8-286F-4068-99E7-7F78E7A6C8DB}" sibTransId="{66692D97-8F2D-4AAA-8A8D-1E6FDA985A9D}"/>
    <dgm:cxn modelId="{816AB278-158C-4F61-BB7C-BD3FE7279FDA}" type="presOf" srcId="{512B562E-EFA4-4C53-A790-23E1DC15D486}" destId="{C39A5FC6-7B4A-4A6B-99D0-61F12DF2AFE7}" srcOrd="0" destOrd="0" presId="urn:microsoft.com/office/officeart/2005/8/layout/cycle5"/>
    <dgm:cxn modelId="{E25F037C-2A4C-4D25-AA8F-D3F7A5D463D4}" type="presOf" srcId="{200555DA-29A5-4947-BE6B-B0E3DA24B3BD}" destId="{3C65BE0E-815E-4180-9C0A-D40C60AFEB36}" srcOrd="0" destOrd="0" presId="urn:microsoft.com/office/officeart/2005/8/layout/cycle5"/>
    <dgm:cxn modelId="{1B45C260-1100-4138-AE88-543D66AEB111}" type="presOf" srcId="{C66C1A0E-865A-44B8-9BA1-6BB7749CDF99}" destId="{6C896F70-5E5E-4874-A039-F7B21756E615}" srcOrd="0" destOrd="0" presId="urn:microsoft.com/office/officeart/2005/8/layout/cycle5"/>
    <dgm:cxn modelId="{98162D80-C811-4BFC-B037-1C8B12E71AEB}" type="presOf" srcId="{66692D97-8F2D-4AAA-8A8D-1E6FDA985A9D}" destId="{8708D5D4-134E-4676-B64F-964B0DA536BD}" srcOrd="0" destOrd="0" presId="urn:microsoft.com/office/officeart/2005/8/layout/cycle5"/>
    <dgm:cxn modelId="{9329AF66-92C1-4E26-9576-88ACD624C3B3}" srcId="{512B562E-EFA4-4C53-A790-23E1DC15D486}" destId="{A70DDA13-0C9E-4B43-B300-FD9D3A921861}" srcOrd="1" destOrd="0" parTransId="{D03A564E-3FD1-4BB5-813D-B065955D4AD1}" sibTransId="{8C3966F1-2611-4E93-BA4D-1AD237554551}"/>
    <dgm:cxn modelId="{60028DAC-E55C-4985-A063-DE10F31055F1}" srcId="{512B562E-EFA4-4C53-A790-23E1DC15D486}" destId="{73F9DE80-394B-44AC-AFAE-783150E5B6A4}" srcOrd="2" destOrd="0" parTransId="{EE08A136-8EC1-4E66-A994-6E13E9F30726}" sibTransId="{EC8A4517-6B24-49AC-A26A-D379200E19BE}"/>
    <dgm:cxn modelId="{926DEF85-E60F-47B3-8B41-C52EE764CCC4}" type="presOf" srcId="{2D077184-36C1-481A-BD4D-BA5015FB507B}" destId="{6B5A755F-1BBE-4ED5-B7FE-AD3510DAD437}" srcOrd="0" destOrd="0" presId="urn:microsoft.com/office/officeart/2005/8/layout/cycle5"/>
    <dgm:cxn modelId="{89BBBCEA-A0AD-452E-BC5D-D2B071D10B2D}" type="presParOf" srcId="{C39A5FC6-7B4A-4A6B-99D0-61F12DF2AFE7}" destId="{6B5A755F-1BBE-4ED5-B7FE-AD3510DAD437}" srcOrd="0" destOrd="0" presId="urn:microsoft.com/office/officeart/2005/8/layout/cycle5"/>
    <dgm:cxn modelId="{9F832BF4-F303-4BEF-AC86-DE44A119D445}" type="presParOf" srcId="{C39A5FC6-7B4A-4A6B-99D0-61F12DF2AFE7}" destId="{4E19A549-D7F6-44FB-8656-8E870365988A}" srcOrd="1" destOrd="0" presId="urn:microsoft.com/office/officeart/2005/8/layout/cycle5"/>
    <dgm:cxn modelId="{1A0EBC58-C5F4-47DC-A6EB-2E0117E692C4}" type="presParOf" srcId="{C39A5FC6-7B4A-4A6B-99D0-61F12DF2AFE7}" destId="{8708D5D4-134E-4676-B64F-964B0DA536BD}" srcOrd="2" destOrd="0" presId="urn:microsoft.com/office/officeart/2005/8/layout/cycle5"/>
    <dgm:cxn modelId="{B2C1A49D-80BD-4E75-85CA-B2A291741B78}" type="presParOf" srcId="{C39A5FC6-7B4A-4A6B-99D0-61F12DF2AFE7}" destId="{F1A35E3E-60E6-4D1F-9C4E-E1AD788FC705}" srcOrd="3" destOrd="0" presId="urn:microsoft.com/office/officeart/2005/8/layout/cycle5"/>
    <dgm:cxn modelId="{E582432E-E337-4697-8BB4-95E605675D87}" type="presParOf" srcId="{C39A5FC6-7B4A-4A6B-99D0-61F12DF2AFE7}" destId="{0C0D856E-2496-4EAC-87F9-E2C239C545B4}" srcOrd="4" destOrd="0" presId="urn:microsoft.com/office/officeart/2005/8/layout/cycle5"/>
    <dgm:cxn modelId="{9F28A2F1-01C6-44CA-BD1D-D1A3B228F979}" type="presParOf" srcId="{C39A5FC6-7B4A-4A6B-99D0-61F12DF2AFE7}" destId="{280D7640-54A7-4FF8-9FEB-1DCF8EC891A8}" srcOrd="5" destOrd="0" presId="urn:microsoft.com/office/officeart/2005/8/layout/cycle5"/>
    <dgm:cxn modelId="{AB5EF0DA-617E-4463-90E9-3AB561A1B37E}" type="presParOf" srcId="{C39A5FC6-7B4A-4A6B-99D0-61F12DF2AFE7}" destId="{80B6A837-F8FA-4BBD-8B1B-10D260A64FCD}" srcOrd="6" destOrd="0" presId="urn:microsoft.com/office/officeart/2005/8/layout/cycle5"/>
    <dgm:cxn modelId="{7C868E2C-5E10-43AC-BF95-D9FD6A4471CB}" type="presParOf" srcId="{C39A5FC6-7B4A-4A6B-99D0-61F12DF2AFE7}" destId="{F2073EA2-0BB0-4275-927E-C0ADB1C28536}" srcOrd="7" destOrd="0" presId="urn:microsoft.com/office/officeart/2005/8/layout/cycle5"/>
    <dgm:cxn modelId="{FC65CF46-AE4A-41D9-BD20-889A0AB3017E}" type="presParOf" srcId="{C39A5FC6-7B4A-4A6B-99D0-61F12DF2AFE7}" destId="{F965AC39-96D1-42C1-8F40-8DB7403C2A17}" srcOrd="8" destOrd="0" presId="urn:microsoft.com/office/officeart/2005/8/layout/cycle5"/>
    <dgm:cxn modelId="{16B00427-584C-437E-A58B-F9DC6EFC184C}" type="presParOf" srcId="{C39A5FC6-7B4A-4A6B-99D0-61F12DF2AFE7}" destId="{3C65BE0E-815E-4180-9C0A-D40C60AFEB36}" srcOrd="9" destOrd="0" presId="urn:microsoft.com/office/officeart/2005/8/layout/cycle5"/>
    <dgm:cxn modelId="{BC5F75BD-093E-432F-A78D-290EA480960A}" type="presParOf" srcId="{C39A5FC6-7B4A-4A6B-99D0-61F12DF2AFE7}" destId="{E9267B2F-07BF-443E-8D4F-710C5EAE3DB7}" srcOrd="10" destOrd="0" presId="urn:microsoft.com/office/officeart/2005/8/layout/cycle5"/>
    <dgm:cxn modelId="{5ECB724B-6931-4ECD-81B1-6DAF3E0C5B34}" type="presParOf" srcId="{C39A5FC6-7B4A-4A6B-99D0-61F12DF2AFE7}" destId="{6C896F70-5E5E-4874-A039-F7B21756E615}" srcOrd="11"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A755F-1BBE-4ED5-B7FE-AD3510DAD437}">
      <dsp:nvSpPr>
        <dsp:cNvPr id="0" name=""/>
        <dsp:cNvSpPr/>
      </dsp:nvSpPr>
      <dsp:spPr>
        <a:xfrm>
          <a:off x="1725017" y="-60073"/>
          <a:ext cx="1157827" cy="75258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SADC Gender Protocol sets regional standards </a:t>
          </a:r>
        </a:p>
      </dsp:txBody>
      <dsp:txXfrm>
        <a:off x="1761755" y="-23335"/>
        <a:ext cx="1084351" cy="679111"/>
      </dsp:txXfrm>
    </dsp:sp>
    <dsp:sp modelId="{8708D5D4-134E-4676-B64F-964B0DA536BD}">
      <dsp:nvSpPr>
        <dsp:cNvPr id="0" name=""/>
        <dsp:cNvSpPr/>
      </dsp:nvSpPr>
      <dsp:spPr>
        <a:xfrm>
          <a:off x="1061660" y="316219"/>
          <a:ext cx="2484540" cy="2484540"/>
        </a:xfrm>
        <a:custGeom>
          <a:avLst/>
          <a:gdLst/>
          <a:ahLst/>
          <a:cxnLst/>
          <a:rect l="0" t="0" r="0" b="0"/>
          <a:pathLst>
            <a:path>
              <a:moveTo>
                <a:pt x="1814218" y="216692"/>
              </a:moveTo>
              <a:arcTo wR="1144199" hR="1144199" stAng="18350629" swAng="1516634"/>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F1A35E3E-60E6-4D1F-9C4E-E1AD788FC705}">
      <dsp:nvSpPr>
        <dsp:cNvPr id="0" name=""/>
        <dsp:cNvSpPr/>
      </dsp:nvSpPr>
      <dsp:spPr>
        <a:xfrm>
          <a:off x="2867071" y="1117450"/>
          <a:ext cx="1358258" cy="88207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Countries and councils  champion targets at the  national and local  level</a:t>
          </a:r>
        </a:p>
      </dsp:txBody>
      <dsp:txXfrm>
        <a:off x="2910130" y="1160509"/>
        <a:ext cx="1272140" cy="795959"/>
      </dsp:txXfrm>
    </dsp:sp>
    <dsp:sp modelId="{280D7640-54A7-4FF8-9FEB-1DCF8EC891A8}">
      <dsp:nvSpPr>
        <dsp:cNvPr id="0" name=""/>
        <dsp:cNvSpPr/>
      </dsp:nvSpPr>
      <dsp:spPr>
        <a:xfrm>
          <a:off x="1061660" y="316219"/>
          <a:ext cx="2484540" cy="2484540"/>
        </a:xfrm>
        <a:custGeom>
          <a:avLst/>
          <a:gdLst/>
          <a:ahLst/>
          <a:cxnLst/>
          <a:rect l="0" t="0" r="0" b="0"/>
          <a:pathLst>
            <a:path>
              <a:moveTo>
                <a:pt x="2163166" y="1664681"/>
              </a:moveTo>
              <a:arcTo wR="1144199" hR="1144199" stAng="1623460" swAng="1159321"/>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0B6A837-F8FA-4BBD-8B1B-10D260A64FCD}">
      <dsp:nvSpPr>
        <dsp:cNvPr id="0" name=""/>
        <dsp:cNvSpPr/>
      </dsp:nvSpPr>
      <dsp:spPr>
        <a:xfrm>
          <a:off x="1549421" y="2302945"/>
          <a:ext cx="1509019" cy="99562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kern="1200">
              <a:solidFill>
                <a:sysClr val="window" lastClr="FFFFFF"/>
              </a:solidFill>
              <a:latin typeface="Calibri" panose="020F0502020204030204"/>
              <a:ea typeface="+mn-ea"/>
              <a:cs typeface="+mn-cs"/>
            </a:rPr>
            <a:t>Good practices gathered  and shared at district, national and regional  summits </a:t>
          </a:r>
        </a:p>
      </dsp:txBody>
      <dsp:txXfrm>
        <a:off x="1598024" y="2351548"/>
        <a:ext cx="1411813" cy="898422"/>
      </dsp:txXfrm>
    </dsp:sp>
    <dsp:sp modelId="{F965AC39-96D1-42C1-8F40-8DB7403C2A17}">
      <dsp:nvSpPr>
        <dsp:cNvPr id="0" name=""/>
        <dsp:cNvSpPr/>
      </dsp:nvSpPr>
      <dsp:spPr>
        <a:xfrm>
          <a:off x="1061660" y="316219"/>
          <a:ext cx="2484540" cy="2484540"/>
        </a:xfrm>
        <a:custGeom>
          <a:avLst/>
          <a:gdLst/>
          <a:ahLst/>
          <a:cxnLst/>
          <a:rect l="0" t="0" r="0" b="0"/>
          <a:pathLst>
            <a:path>
              <a:moveTo>
                <a:pt x="370312" y="1986987"/>
              </a:moveTo>
              <a:arcTo wR="1144199" hR="1144199" stAng="7953578" swAng="957758"/>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C65BE0E-815E-4180-9C0A-D40C60AFEB36}">
      <dsp:nvSpPr>
        <dsp:cNvPr id="0" name=""/>
        <dsp:cNvSpPr/>
      </dsp:nvSpPr>
      <dsp:spPr>
        <a:xfrm>
          <a:off x="308569" y="1008306"/>
          <a:ext cx="1506182" cy="110036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Case studies analysed in the SADC Barometer, used to lobby  for stronger provisions </a:t>
          </a:r>
        </a:p>
      </dsp:txBody>
      <dsp:txXfrm>
        <a:off x="362284" y="1062021"/>
        <a:ext cx="1398752" cy="992935"/>
      </dsp:txXfrm>
    </dsp:sp>
    <dsp:sp modelId="{6C896F70-5E5E-4874-A039-F7B21756E615}">
      <dsp:nvSpPr>
        <dsp:cNvPr id="0" name=""/>
        <dsp:cNvSpPr/>
      </dsp:nvSpPr>
      <dsp:spPr>
        <a:xfrm>
          <a:off x="1061660" y="316219"/>
          <a:ext cx="2484540" cy="2484540"/>
        </a:xfrm>
        <a:custGeom>
          <a:avLst/>
          <a:gdLst/>
          <a:ahLst/>
          <a:cxnLst/>
          <a:rect l="0" t="0" r="0" b="0"/>
          <a:pathLst>
            <a:path>
              <a:moveTo>
                <a:pt x="188152" y="515577"/>
              </a:moveTo>
              <a:arcTo wR="1144199" hR="1144199" stAng="12799549" swAng="1311853"/>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A755F-1BBE-4ED5-B7FE-AD3510DAD437}">
      <dsp:nvSpPr>
        <dsp:cNvPr id="0" name=""/>
        <dsp:cNvSpPr/>
      </dsp:nvSpPr>
      <dsp:spPr>
        <a:xfrm>
          <a:off x="1725017" y="-60073"/>
          <a:ext cx="1157827" cy="75258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SADC Gender Protocol sets regional standards </a:t>
          </a:r>
        </a:p>
      </dsp:txBody>
      <dsp:txXfrm>
        <a:off x="1761755" y="-23335"/>
        <a:ext cx="1084351" cy="679111"/>
      </dsp:txXfrm>
    </dsp:sp>
    <dsp:sp modelId="{8708D5D4-134E-4676-B64F-964B0DA536BD}">
      <dsp:nvSpPr>
        <dsp:cNvPr id="0" name=""/>
        <dsp:cNvSpPr/>
      </dsp:nvSpPr>
      <dsp:spPr>
        <a:xfrm>
          <a:off x="1061660" y="316219"/>
          <a:ext cx="2484540" cy="2484540"/>
        </a:xfrm>
        <a:custGeom>
          <a:avLst/>
          <a:gdLst/>
          <a:ahLst/>
          <a:cxnLst/>
          <a:rect l="0" t="0" r="0" b="0"/>
          <a:pathLst>
            <a:path>
              <a:moveTo>
                <a:pt x="1814218" y="216692"/>
              </a:moveTo>
              <a:arcTo wR="1144199" hR="1144199" stAng="18350629" swAng="1516634"/>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F1A35E3E-60E6-4D1F-9C4E-E1AD788FC705}">
      <dsp:nvSpPr>
        <dsp:cNvPr id="0" name=""/>
        <dsp:cNvSpPr/>
      </dsp:nvSpPr>
      <dsp:spPr>
        <a:xfrm>
          <a:off x="2867071" y="1117450"/>
          <a:ext cx="1358258" cy="88207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Countries and councils  champion targets at the  national and local  level</a:t>
          </a:r>
        </a:p>
      </dsp:txBody>
      <dsp:txXfrm>
        <a:off x="2910130" y="1160509"/>
        <a:ext cx="1272140" cy="795959"/>
      </dsp:txXfrm>
    </dsp:sp>
    <dsp:sp modelId="{280D7640-54A7-4FF8-9FEB-1DCF8EC891A8}">
      <dsp:nvSpPr>
        <dsp:cNvPr id="0" name=""/>
        <dsp:cNvSpPr/>
      </dsp:nvSpPr>
      <dsp:spPr>
        <a:xfrm>
          <a:off x="1061660" y="316219"/>
          <a:ext cx="2484540" cy="2484540"/>
        </a:xfrm>
        <a:custGeom>
          <a:avLst/>
          <a:gdLst/>
          <a:ahLst/>
          <a:cxnLst/>
          <a:rect l="0" t="0" r="0" b="0"/>
          <a:pathLst>
            <a:path>
              <a:moveTo>
                <a:pt x="2163166" y="1664681"/>
              </a:moveTo>
              <a:arcTo wR="1144199" hR="1144199" stAng="1623460" swAng="1159321"/>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0B6A837-F8FA-4BBD-8B1B-10D260A64FCD}">
      <dsp:nvSpPr>
        <dsp:cNvPr id="0" name=""/>
        <dsp:cNvSpPr/>
      </dsp:nvSpPr>
      <dsp:spPr>
        <a:xfrm>
          <a:off x="1549421" y="2302945"/>
          <a:ext cx="1509019" cy="99562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kern="1200">
              <a:solidFill>
                <a:sysClr val="window" lastClr="FFFFFF"/>
              </a:solidFill>
              <a:latin typeface="Calibri" panose="020F0502020204030204"/>
              <a:ea typeface="+mn-ea"/>
              <a:cs typeface="+mn-cs"/>
            </a:rPr>
            <a:t>Good practices gathered  and shared at district, national and regional  summits </a:t>
          </a:r>
        </a:p>
      </dsp:txBody>
      <dsp:txXfrm>
        <a:off x="1598024" y="2351548"/>
        <a:ext cx="1411813" cy="898422"/>
      </dsp:txXfrm>
    </dsp:sp>
    <dsp:sp modelId="{F965AC39-96D1-42C1-8F40-8DB7403C2A17}">
      <dsp:nvSpPr>
        <dsp:cNvPr id="0" name=""/>
        <dsp:cNvSpPr/>
      </dsp:nvSpPr>
      <dsp:spPr>
        <a:xfrm>
          <a:off x="1061660" y="316219"/>
          <a:ext cx="2484540" cy="2484540"/>
        </a:xfrm>
        <a:custGeom>
          <a:avLst/>
          <a:gdLst/>
          <a:ahLst/>
          <a:cxnLst/>
          <a:rect l="0" t="0" r="0" b="0"/>
          <a:pathLst>
            <a:path>
              <a:moveTo>
                <a:pt x="370312" y="1986987"/>
              </a:moveTo>
              <a:arcTo wR="1144199" hR="1144199" stAng="7953578" swAng="957758"/>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C65BE0E-815E-4180-9C0A-D40C60AFEB36}">
      <dsp:nvSpPr>
        <dsp:cNvPr id="0" name=""/>
        <dsp:cNvSpPr/>
      </dsp:nvSpPr>
      <dsp:spPr>
        <a:xfrm>
          <a:off x="308569" y="1008306"/>
          <a:ext cx="1506182" cy="110036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Case studies analysed in the SADC Barometer, used to lobby  for stronger provisions </a:t>
          </a:r>
        </a:p>
      </dsp:txBody>
      <dsp:txXfrm>
        <a:off x="362284" y="1062021"/>
        <a:ext cx="1398752" cy="992935"/>
      </dsp:txXfrm>
    </dsp:sp>
    <dsp:sp modelId="{6C896F70-5E5E-4874-A039-F7B21756E615}">
      <dsp:nvSpPr>
        <dsp:cNvPr id="0" name=""/>
        <dsp:cNvSpPr/>
      </dsp:nvSpPr>
      <dsp:spPr>
        <a:xfrm>
          <a:off x="1061660" y="316219"/>
          <a:ext cx="2484540" cy="2484540"/>
        </a:xfrm>
        <a:custGeom>
          <a:avLst/>
          <a:gdLst/>
          <a:ahLst/>
          <a:cxnLst/>
          <a:rect l="0" t="0" r="0" b="0"/>
          <a:pathLst>
            <a:path>
              <a:moveTo>
                <a:pt x="188152" y="515577"/>
              </a:moveTo>
              <a:arcTo wR="1144199" hR="1144199" stAng="12799549" swAng="1311853"/>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20</Pages>
  <Words>4810</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Colleen</cp:lastModifiedBy>
  <cp:revision>2</cp:revision>
  <dcterms:created xsi:type="dcterms:W3CDTF">2018-06-19T14:31:00Z</dcterms:created>
  <dcterms:modified xsi:type="dcterms:W3CDTF">2018-06-19T14:31:00Z</dcterms:modified>
</cp:coreProperties>
</file>