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A79D3" w14:textId="77777777" w:rsidR="00EA46EE" w:rsidRDefault="00EA46EE" w:rsidP="00E473B2">
      <w:pPr>
        <w:jc w:val="center"/>
        <w:rPr>
          <w:rFonts w:ascii="Tahoma" w:hAnsi="Tahoma" w:cs="Tahoma"/>
          <w:b/>
          <w:bCs/>
          <w:lang w:val="en-US"/>
        </w:rPr>
      </w:pPr>
      <w:bookmarkStart w:id="0" w:name="_GoBack"/>
      <w:bookmarkEnd w:id="0"/>
      <w:r>
        <w:rPr>
          <w:noProof/>
          <w:lang w:eastAsia="en-ZA"/>
        </w:rPr>
        <w:drawing>
          <wp:anchor distT="0" distB="0" distL="114300" distR="114300" simplePos="0" relativeHeight="251663360" behindDoc="0" locked="0" layoutInCell="1" allowOverlap="1" wp14:anchorId="0C646899" wp14:editId="030D66E4">
            <wp:simplePos x="0" y="0"/>
            <wp:positionH relativeFrom="column">
              <wp:posOffset>4512945</wp:posOffset>
            </wp:positionH>
            <wp:positionV relativeFrom="paragraph">
              <wp:posOffset>1270</wp:posOffset>
            </wp:positionV>
            <wp:extent cx="1550035" cy="800100"/>
            <wp:effectExtent l="0" t="0" r="0" b="0"/>
            <wp:wrapSquare wrapText="bothSides"/>
            <wp:docPr id="4" name="Picture 4" descr="Sponsorships - Women Deliver 2019 Global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ships - Women Deliver 2019 Global Confer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003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ZA"/>
        </w:rPr>
        <w:drawing>
          <wp:anchor distT="0" distB="0" distL="114300" distR="114300" simplePos="0" relativeHeight="251661312" behindDoc="0" locked="0" layoutInCell="1" allowOverlap="1" wp14:anchorId="54F2C542" wp14:editId="0086605A">
            <wp:simplePos x="0" y="0"/>
            <wp:positionH relativeFrom="column">
              <wp:posOffset>2202815</wp:posOffset>
            </wp:positionH>
            <wp:positionV relativeFrom="paragraph">
              <wp:posOffset>0</wp:posOffset>
            </wp:positionV>
            <wp:extent cx="1967230" cy="1225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RHR logo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7230" cy="1225550"/>
                    </a:xfrm>
                    <a:prstGeom prst="rect">
                      <a:avLst/>
                    </a:prstGeom>
                  </pic:spPr>
                </pic:pic>
              </a:graphicData>
            </a:graphic>
            <wp14:sizeRelH relativeFrom="page">
              <wp14:pctWidth>0</wp14:pctWidth>
            </wp14:sizeRelH>
            <wp14:sizeRelV relativeFrom="page">
              <wp14:pctHeight>0</wp14:pctHeight>
            </wp14:sizeRelV>
          </wp:anchor>
        </w:drawing>
      </w:r>
      <w:r>
        <w:rPr>
          <w:noProof/>
          <w:lang w:eastAsia="en-ZA"/>
        </w:rPr>
        <w:drawing>
          <wp:anchor distT="0" distB="0" distL="114300" distR="114300" simplePos="0" relativeHeight="251659264" behindDoc="0" locked="0" layoutInCell="1" allowOverlap="1" wp14:anchorId="3E2B1B56" wp14:editId="16C48664">
            <wp:simplePos x="0" y="0"/>
            <wp:positionH relativeFrom="column">
              <wp:posOffset>-365760</wp:posOffset>
            </wp:positionH>
            <wp:positionV relativeFrom="paragraph">
              <wp:posOffset>38100</wp:posOffset>
            </wp:positionV>
            <wp:extent cx="2652395" cy="8496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logo2016_01201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2395" cy="849630"/>
                    </a:xfrm>
                    <a:prstGeom prst="rect">
                      <a:avLst/>
                    </a:prstGeom>
                  </pic:spPr>
                </pic:pic>
              </a:graphicData>
            </a:graphic>
            <wp14:sizeRelH relativeFrom="page">
              <wp14:pctWidth>0</wp14:pctWidth>
            </wp14:sizeRelH>
            <wp14:sizeRelV relativeFrom="page">
              <wp14:pctHeight>0</wp14:pctHeight>
            </wp14:sizeRelV>
          </wp:anchor>
        </w:drawing>
      </w:r>
    </w:p>
    <w:p w14:paraId="6E40422E" w14:textId="77777777" w:rsidR="00EA46EE" w:rsidRDefault="00EA46EE" w:rsidP="00E473B2">
      <w:pPr>
        <w:jc w:val="center"/>
        <w:rPr>
          <w:rFonts w:ascii="Tahoma" w:hAnsi="Tahoma" w:cs="Tahoma"/>
          <w:b/>
          <w:bCs/>
          <w:lang w:val="en-US"/>
        </w:rPr>
      </w:pPr>
    </w:p>
    <w:p w14:paraId="3237D732" w14:textId="77777777" w:rsidR="00EA46EE" w:rsidRDefault="00EA46EE" w:rsidP="00E473B2">
      <w:pPr>
        <w:jc w:val="center"/>
        <w:rPr>
          <w:rFonts w:ascii="Tahoma" w:hAnsi="Tahoma" w:cs="Tahoma"/>
          <w:b/>
          <w:bCs/>
          <w:lang w:val="en-US"/>
        </w:rPr>
      </w:pPr>
    </w:p>
    <w:p w14:paraId="23477601" w14:textId="77777777" w:rsidR="009955BD" w:rsidRPr="00B0530D" w:rsidRDefault="0049574F" w:rsidP="00E473B2">
      <w:pPr>
        <w:jc w:val="center"/>
        <w:rPr>
          <w:rFonts w:ascii="Tahoma" w:hAnsi="Tahoma" w:cs="Tahoma"/>
          <w:b/>
          <w:bCs/>
          <w:lang w:val="en-US"/>
        </w:rPr>
      </w:pPr>
      <w:r>
        <w:rPr>
          <w:rFonts w:ascii="Tahoma" w:hAnsi="Tahoma" w:cs="Tahoma"/>
          <w:b/>
          <w:bCs/>
          <w:lang w:val="en-US"/>
        </w:rPr>
        <w:t>ADOLESCENT SEXUAL REPRODUCTIVE HEALTH AND RIGHTS (</w:t>
      </w:r>
      <w:r w:rsidRPr="00B0530D">
        <w:rPr>
          <w:rFonts w:ascii="Tahoma" w:hAnsi="Tahoma" w:cs="Tahoma"/>
          <w:b/>
          <w:bCs/>
          <w:lang w:val="en-US"/>
        </w:rPr>
        <w:t>ASRHR</w:t>
      </w:r>
      <w:r>
        <w:rPr>
          <w:rFonts w:ascii="Tahoma" w:hAnsi="Tahoma" w:cs="Tahoma"/>
          <w:b/>
          <w:bCs/>
          <w:lang w:val="en-US"/>
        </w:rPr>
        <w:t>)</w:t>
      </w:r>
      <w:r w:rsidRPr="00B0530D">
        <w:rPr>
          <w:rFonts w:ascii="Tahoma" w:hAnsi="Tahoma" w:cs="Tahoma"/>
          <w:b/>
          <w:bCs/>
          <w:lang w:val="en-US"/>
        </w:rPr>
        <w:t xml:space="preserve"> CHECKLIST</w:t>
      </w:r>
    </w:p>
    <w:p w14:paraId="0786B9DE" w14:textId="77777777" w:rsidR="00590776" w:rsidRPr="00B0530D" w:rsidRDefault="00E473B2" w:rsidP="00090106">
      <w:pPr>
        <w:jc w:val="both"/>
        <w:rPr>
          <w:rFonts w:ascii="Tahoma" w:hAnsi="Tahoma" w:cs="Tahoma"/>
          <w:b/>
          <w:bCs/>
          <w:lang w:val="en-US"/>
        </w:rPr>
      </w:pPr>
      <w:r w:rsidRPr="00B0530D">
        <w:rPr>
          <w:rFonts w:ascii="Tahoma" w:hAnsi="Tahoma" w:cs="Tahoma"/>
          <w:b/>
          <w:bCs/>
          <w:lang w:val="en-US"/>
        </w:rPr>
        <w:t>Purpose and s</w:t>
      </w:r>
      <w:r w:rsidR="00A4248C" w:rsidRPr="00B0530D">
        <w:rPr>
          <w:rFonts w:ascii="Tahoma" w:hAnsi="Tahoma" w:cs="Tahoma"/>
          <w:b/>
          <w:bCs/>
          <w:lang w:val="en-US"/>
        </w:rPr>
        <w:t>cope</w:t>
      </w:r>
    </w:p>
    <w:p w14:paraId="56952149" w14:textId="77777777" w:rsidR="00EA46EE" w:rsidRDefault="00590776" w:rsidP="00090106">
      <w:pPr>
        <w:spacing w:after="0" w:line="240" w:lineRule="auto"/>
        <w:jc w:val="both"/>
        <w:rPr>
          <w:rFonts w:ascii="Tahoma" w:hAnsi="Tahoma" w:cs="Tahoma"/>
        </w:rPr>
      </w:pPr>
      <w:r w:rsidRPr="00B0530D">
        <w:rPr>
          <w:rFonts w:ascii="Tahoma" w:hAnsi="Tahoma" w:cs="Tahoma"/>
          <w:lang w:val="en-US"/>
        </w:rPr>
        <w:t>This checklist</w:t>
      </w:r>
      <w:r w:rsidR="00413EA8" w:rsidRPr="00B0530D">
        <w:rPr>
          <w:rFonts w:ascii="Tahoma" w:hAnsi="Tahoma" w:cs="Tahoma"/>
          <w:lang w:val="en-US"/>
        </w:rPr>
        <w:t xml:space="preserve"> measures</w:t>
      </w:r>
      <w:r w:rsidRPr="00B0530D">
        <w:rPr>
          <w:rFonts w:ascii="Tahoma" w:hAnsi="Tahoma" w:cs="Tahoma"/>
          <w:lang w:val="en-US"/>
        </w:rPr>
        <w:t xml:space="preserve"> the level of preparedness in SADC </w:t>
      </w:r>
      <w:r w:rsidR="00C45FE4" w:rsidRPr="00B0530D">
        <w:rPr>
          <w:rFonts w:ascii="Tahoma" w:hAnsi="Tahoma" w:cs="Tahoma"/>
          <w:lang w:val="en-US"/>
        </w:rPr>
        <w:t xml:space="preserve">countries </w:t>
      </w:r>
      <w:r w:rsidRPr="00B0530D">
        <w:rPr>
          <w:rFonts w:ascii="Tahoma" w:hAnsi="Tahoma" w:cs="Tahoma"/>
          <w:lang w:val="en-US"/>
        </w:rPr>
        <w:t>to respond to the</w:t>
      </w:r>
      <w:r w:rsidR="00AC5149" w:rsidRPr="00B0530D">
        <w:rPr>
          <w:rFonts w:ascii="Tahoma" w:hAnsi="Tahoma" w:cs="Tahoma"/>
          <w:lang w:val="en-US"/>
        </w:rPr>
        <w:t xml:space="preserve"> specific</w:t>
      </w:r>
      <w:r w:rsidRPr="00B0530D">
        <w:rPr>
          <w:rFonts w:ascii="Tahoma" w:hAnsi="Tahoma" w:cs="Tahoma"/>
          <w:lang w:val="en-US"/>
        </w:rPr>
        <w:t xml:space="preserve"> </w:t>
      </w:r>
      <w:r w:rsidR="00874353" w:rsidRPr="00B0530D">
        <w:rPr>
          <w:rFonts w:ascii="Tahoma" w:hAnsi="Tahoma" w:cs="Tahoma"/>
          <w:lang w:val="en-US"/>
        </w:rPr>
        <w:t>Adolescent Sexual Reproductive Health and Rights (</w:t>
      </w:r>
      <w:r w:rsidR="00E2351D" w:rsidRPr="00B0530D">
        <w:rPr>
          <w:rFonts w:ascii="Tahoma" w:hAnsi="Tahoma" w:cs="Tahoma"/>
          <w:lang w:val="en-US"/>
        </w:rPr>
        <w:t>A</w:t>
      </w:r>
      <w:r w:rsidRPr="00B0530D">
        <w:rPr>
          <w:rFonts w:ascii="Tahoma" w:hAnsi="Tahoma" w:cs="Tahoma"/>
          <w:lang w:val="en-US"/>
        </w:rPr>
        <w:t>SRHR</w:t>
      </w:r>
      <w:r w:rsidR="00874353" w:rsidRPr="00B0530D">
        <w:rPr>
          <w:rFonts w:ascii="Tahoma" w:hAnsi="Tahoma" w:cs="Tahoma"/>
          <w:lang w:val="en-US"/>
        </w:rPr>
        <w:t>)</w:t>
      </w:r>
      <w:r w:rsidRPr="00B0530D">
        <w:rPr>
          <w:rFonts w:ascii="Tahoma" w:hAnsi="Tahoma" w:cs="Tahoma"/>
          <w:lang w:val="en-US"/>
        </w:rPr>
        <w:t xml:space="preserve"> needs of </w:t>
      </w:r>
      <w:r w:rsidR="006B3E7A" w:rsidRPr="00B0530D">
        <w:rPr>
          <w:rFonts w:ascii="Tahoma" w:hAnsi="Tahoma" w:cs="Tahoma"/>
          <w:lang w:val="en-US"/>
        </w:rPr>
        <w:t xml:space="preserve">their </w:t>
      </w:r>
      <w:r w:rsidR="00C45FE4" w:rsidRPr="00B0530D">
        <w:rPr>
          <w:rFonts w:ascii="Tahoma" w:hAnsi="Tahoma" w:cs="Tahoma"/>
          <w:lang w:val="en-US"/>
        </w:rPr>
        <w:t>citizen</w:t>
      </w:r>
      <w:r w:rsidR="006B3E7A" w:rsidRPr="00B0530D">
        <w:rPr>
          <w:rFonts w:ascii="Tahoma" w:hAnsi="Tahoma" w:cs="Tahoma"/>
          <w:lang w:val="en-US"/>
        </w:rPr>
        <w:t>s in line with regional and global commitments that enable access to SRHR services.</w:t>
      </w:r>
      <w:r w:rsidR="00301F78" w:rsidRPr="00B0530D">
        <w:rPr>
          <w:rFonts w:ascii="Tahoma" w:hAnsi="Tahoma" w:cs="Tahoma"/>
          <w:lang w:val="en-US"/>
        </w:rPr>
        <w:t xml:space="preserve"> </w:t>
      </w:r>
      <w:r w:rsidR="0049574F">
        <w:rPr>
          <w:rFonts w:ascii="Tahoma" w:hAnsi="Tahoma" w:cs="Tahoma"/>
        </w:rPr>
        <w:t>The checklist is adapted</w:t>
      </w:r>
      <w:r w:rsidR="00DF03E4" w:rsidRPr="00B0530D">
        <w:rPr>
          <w:rFonts w:ascii="Tahoma" w:hAnsi="Tahoma" w:cs="Tahoma"/>
        </w:rPr>
        <w:t xml:space="preserve"> from </w:t>
      </w:r>
    </w:p>
    <w:p w14:paraId="322ACABB" w14:textId="77777777" w:rsidR="00EA46EE" w:rsidRPr="00EA46EE" w:rsidRDefault="0049574F" w:rsidP="00EA46EE">
      <w:pPr>
        <w:pStyle w:val="ListParagraph"/>
        <w:numPr>
          <w:ilvl w:val="0"/>
          <w:numId w:val="29"/>
        </w:numPr>
        <w:spacing w:after="0" w:line="240" w:lineRule="auto"/>
        <w:jc w:val="both"/>
        <w:rPr>
          <w:rFonts w:ascii="Tahoma" w:hAnsi="Tahoma" w:cs="Tahoma"/>
        </w:rPr>
      </w:pPr>
      <w:r w:rsidRPr="00EA46EE">
        <w:rPr>
          <w:rFonts w:ascii="Tahoma" w:hAnsi="Tahoma" w:cs="Tahoma"/>
        </w:rPr>
        <w:t xml:space="preserve">WHO Guidelines for Adolescent Sexual and Reproductive Health and Rights (2018); </w:t>
      </w:r>
    </w:p>
    <w:p w14:paraId="2EB04047" w14:textId="77777777" w:rsidR="00EA46EE" w:rsidRPr="00EA46EE" w:rsidRDefault="00EA46EE" w:rsidP="00EA46EE">
      <w:pPr>
        <w:pStyle w:val="ListParagraph"/>
        <w:numPr>
          <w:ilvl w:val="0"/>
          <w:numId w:val="29"/>
        </w:numPr>
        <w:spacing w:after="0" w:line="240" w:lineRule="auto"/>
        <w:jc w:val="both"/>
        <w:rPr>
          <w:rFonts w:ascii="Tahoma" w:hAnsi="Tahoma" w:cs="Tahoma"/>
        </w:rPr>
      </w:pPr>
      <w:r>
        <w:rPr>
          <w:rFonts w:ascii="Tahoma" w:hAnsi="Tahoma" w:cs="Tahoma"/>
        </w:rPr>
        <w:t>A</w:t>
      </w:r>
      <w:r w:rsidR="00DF03E4" w:rsidRPr="00EA46EE">
        <w:rPr>
          <w:rFonts w:ascii="Tahoma" w:hAnsi="Tahoma" w:cs="Tahoma"/>
        </w:rPr>
        <w:t xml:space="preserve"> review of the 100 SRHR indicators analysed in the 202</w:t>
      </w:r>
      <w:r w:rsidR="002E0F73" w:rsidRPr="00EA46EE">
        <w:rPr>
          <w:rFonts w:ascii="Tahoma" w:hAnsi="Tahoma" w:cs="Tahoma"/>
        </w:rPr>
        <w:t>1</w:t>
      </w:r>
      <w:r w:rsidR="00DF03E4" w:rsidRPr="00EA46EE">
        <w:rPr>
          <w:rFonts w:ascii="Tahoma" w:hAnsi="Tahoma" w:cs="Tahoma"/>
        </w:rPr>
        <w:t xml:space="preserve"> #Voice</w:t>
      </w:r>
      <w:r w:rsidR="002E0F73" w:rsidRPr="00EA46EE">
        <w:rPr>
          <w:rFonts w:ascii="Tahoma" w:hAnsi="Tahoma" w:cs="Tahoma"/>
        </w:rPr>
        <w:t>andChoice</w:t>
      </w:r>
      <w:r w:rsidR="00DF03E4" w:rsidRPr="00EA46EE">
        <w:rPr>
          <w:rFonts w:ascii="Tahoma" w:hAnsi="Tahoma" w:cs="Tahoma"/>
        </w:rPr>
        <w:t xml:space="preserve"> Barometer; </w:t>
      </w:r>
    </w:p>
    <w:p w14:paraId="3A9E9D30" w14:textId="77777777" w:rsidR="00EA46EE" w:rsidRPr="00EA46EE" w:rsidRDefault="00DF03E4" w:rsidP="00EA46EE">
      <w:pPr>
        <w:pStyle w:val="ListParagraph"/>
        <w:numPr>
          <w:ilvl w:val="0"/>
          <w:numId w:val="29"/>
        </w:numPr>
        <w:spacing w:after="0" w:line="240" w:lineRule="auto"/>
        <w:jc w:val="both"/>
        <w:rPr>
          <w:rFonts w:ascii="Tahoma" w:hAnsi="Tahoma" w:cs="Tahoma"/>
        </w:rPr>
      </w:pPr>
      <w:r w:rsidRPr="00EA46EE">
        <w:rPr>
          <w:rFonts w:ascii="Tahoma" w:hAnsi="Tahoma" w:cs="Tahoma"/>
        </w:rPr>
        <w:t>The Adolescent SRHR rapid response questionnaire</w:t>
      </w:r>
      <w:r w:rsidR="00205C54" w:rsidRPr="00EA46EE">
        <w:rPr>
          <w:rFonts w:ascii="Tahoma" w:hAnsi="Tahoma" w:cs="Tahoma"/>
        </w:rPr>
        <w:t xml:space="preserve"> and assessment </w:t>
      </w:r>
      <w:r w:rsidR="00682352" w:rsidRPr="00EA46EE">
        <w:rPr>
          <w:rFonts w:ascii="Tahoma" w:hAnsi="Tahoma" w:cs="Tahoma"/>
        </w:rPr>
        <w:t>report;</w:t>
      </w:r>
      <w:r w:rsidR="00E2351D" w:rsidRPr="00EA46EE">
        <w:rPr>
          <w:rFonts w:ascii="Tahoma" w:hAnsi="Tahoma" w:cs="Tahoma"/>
        </w:rPr>
        <w:t xml:space="preserve"> </w:t>
      </w:r>
      <w:r w:rsidR="00C45FE4" w:rsidRPr="00EA46EE">
        <w:rPr>
          <w:rFonts w:ascii="Tahoma" w:hAnsi="Tahoma" w:cs="Tahoma"/>
        </w:rPr>
        <w:t>and t</w:t>
      </w:r>
      <w:r w:rsidRPr="00EA46EE">
        <w:rPr>
          <w:rFonts w:ascii="Tahoma" w:hAnsi="Tahoma" w:cs="Tahoma"/>
        </w:rPr>
        <w:t xml:space="preserve">he </w:t>
      </w:r>
      <w:r w:rsidR="00682352" w:rsidRPr="00EA46EE">
        <w:rPr>
          <w:rFonts w:ascii="Tahoma" w:hAnsi="Tahoma" w:cs="Tahoma"/>
        </w:rPr>
        <w:t>updated mapping</w:t>
      </w:r>
      <w:r w:rsidRPr="00EA46EE">
        <w:rPr>
          <w:rFonts w:ascii="Tahoma" w:hAnsi="Tahoma" w:cs="Tahoma"/>
        </w:rPr>
        <w:t xml:space="preserve"> of </w:t>
      </w:r>
      <w:r w:rsidR="00682352" w:rsidRPr="00EA46EE">
        <w:rPr>
          <w:rFonts w:ascii="Tahoma" w:hAnsi="Tahoma" w:cs="Tahoma"/>
        </w:rPr>
        <w:t>A</w:t>
      </w:r>
      <w:r w:rsidRPr="00EA46EE">
        <w:rPr>
          <w:rFonts w:ascii="Tahoma" w:hAnsi="Tahoma" w:cs="Tahoma"/>
        </w:rPr>
        <w:t xml:space="preserve">SRHR laws and policies used by </w:t>
      </w:r>
      <w:r w:rsidR="0049574F" w:rsidRPr="00EA46EE">
        <w:rPr>
          <w:rFonts w:ascii="Tahoma" w:hAnsi="Tahoma" w:cs="Tahoma"/>
        </w:rPr>
        <w:t>Gender Links (</w:t>
      </w:r>
      <w:r w:rsidRPr="00EA46EE">
        <w:rPr>
          <w:rFonts w:ascii="Tahoma" w:hAnsi="Tahoma" w:cs="Tahoma"/>
        </w:rPr>
        <w:t>GL</w:t>
      </w:r>
      <w:r w:rsidR="0049574F" w:rsidRPr="00EA46EE">
        <w:rPr>
          <w:rFonts w:ascii="Tahoma" w:hAnsi="Tahoma" w:cs="Tahoma"/>
        </w:rPr>
        <w:t>)</w:t>
      </w:r>
      <w:r w:rsidR="00955C78" w:rsidRPr="00EA46EE">
        <w:rPr>
          <w:rFonts w:ascii="Tahoma" w:hAnsi="Tahoma" w:cs="Tahoma"/>
        </w:rPr>
        <w:t xml:space="preserve"> to promote best practices on ASRHR in the SADC region. </w:t>
      </w:r>
    </w:p>
    <w:p w14:paraId="72011985" w14:textId="77777777" w:rsidR="00EA46EE" w:rsidRDefault="00EA46EE" w:rsidP="00090106">
      <w:pPr>
        <w:spacing w:after="0" w:line="240" w:lineRule="auto"/>
        <w:jc w:val="both"/>
        <w:rPr>
          <w:rFonts w:ascii="Tahoma" w:hAnsi="Tahoma" w:cs="Tahoma"/>
        </w:rPr>
      </w:pPr>
    </w:p>
    <w:p w14:paraId="2F3CF06A" w14:textId="77777777" w:rsidR="00590776" w:rsidRDefault="008A1EDC" w:rsidP="00090106">
      <w:pPr>
        <w:spacing w:after="0" w:line="240" w:lineRule="auto"/>
        <w:jc w:val="both"/>
        <w:rPr>
          <w:rFonts w:ascii="Tahoma" w:hAnsi="Tahoma" w:cs="Tahoma"/>
          <w:lang w:val="en-US"/>
        </w:rPr>
      </w:pPr>
      <w:r w:rsidRPr="00B0530D">
        <w:rPr>
          <w:rFonts w:ascii="Tahoma" w:hAnsi="Tahoma" w:cs="Tahoma"/>
          <w:lang w:val="en-US"/>
        </w:rPr>
        <w:t>The checklist</w:t>
      </w:r>
      <w:r w:rsidR="004C7DBD" w:rsidRPr="00B0530D">
        <w:rPr>
          <w:rFonts w:ascii="Tahoma" w:hAnsi="Tahoma" w:cs="Tahoma"/>
          <w:lang w:val="en-US"/>
        </w:rPr>
        <w:t xml:space="preserve"> </w:t>
      </w:r>
      <w:r w:rsidR="001F44AF" w:rsidRPr="00B0530D">
        <w:rPr>
          <w:rFonts w:ascii="Tahoma" w:hAnsi="Tahoma" w:cs="Tahoma"/>
          <w:lang w:val="en-US"/>
        </w:rPr>
        <w:t xml:space="preserve">covers the legal and </w:t>
      </w:r>
      <w:r w:rsidR="004C7DBD" w:rsidRPr="00B0530D">
        <w:rPr>
          <w:rFonts w:ascii="Tahoma" w:hAnsi="Tahoma" w:cs="Tahoma"/>
          <w:lang w:val="en-US"/>
        </w:rPr>
        <w:t>policies</w:t>
      </w:r>
      <w:r w:rsidR="001F44AF" w:rsidRPr="00B0530D">
        <w:rPr>
          <w:rFonts w:ascii="Tahoma" w:hAnsi="Tahoma" w:cs="Tahoma"/>
          <w:lang w:val="en-US"/>
        </w:rPr>
        <w:t xml:space="preserve"> frameworks, health,</w:t>
      </w:r>
      <w:r w:rsidR="004C7DBD" w:rsidRPr="00B0530D">
        <w:rPr>
          <w:rFonts w:ascii="Tahoma" w:hAnsi="Tahoma" w:cs="Tahoma"/>
          <w:lang w:val="en-US"/>
        </w:rPr>
        <w:t xml:space="preserve"> social an</w:t>
      </w:r>
      <w:r w:rsidR="002B319F" w:rsidRPr="00B0530D">
        <w:rPr>
          <w:rFonts w:ascii="Tahoma" w:hAnsi="Tahoma" w:cs="Tahoma"/>
          <w:lang w:val="en-US"/>
        </w:rPr>
        <w:t xml:space="preserve">d </w:t>
      </w:r>
      <w:r w:rsidR="00BD6CE8" w:rsidRPr="00B0530D">
        <w:rPr>
          <w:rFonts w:ascii="Tahoma" w:hAnsi="Tahoma" w:cs="Tahoma"/>
          <w:lang w:val="en-US"/>
        </w:rPr>
        <w:t xml:space="preserve">other </w:t>
      </w:r>
      <w:r w:rsidR="004C7DBD" w:rsidRPr="00B0530D">
        <w:rPr>
          <w:rFonts w:ascii="Tahoma" w:hAnsi="Tahoma" w:cs="Tahoma"/>
          <w:lang w:val="en-US"/>
        </w:rPr>
        <w:t xml:space="preserve">service delivery issues that need to be addressed to </w:t>
      </w:r>
      <w:r w:rsidR="002B319F" w:rsidRPr="00B0530D">
        <w:rPr>
          <w:rFonts w:ascii="Tahoma" w:hAnsi="Tahoma" w:cs="Tahoma"/>
          <w:lang w:val="en-US"/>
        </w:rPr>
        <w:t xml:space="preserve">increase </w:t>
      </w:r>
      <w:r w:rsidR="00BD6CE8" w:rsidRPr="00B0530D">
        <w:rPr>
          <w:rFonts w:ascii="Tahoma" w:hAnsi="Tahoma" w:cs="Tahoma"/>
          <w:lang w:val="en-US"/>
        </w:rPr>
        <w:t xml:space="preserve">the </w:t>
      </w:r>
      <w:r w:rsidR="002B319F" w:rsidRPr="00B0530D">
        <w:rPr>
          <w:rFonts w:ascii="Tahoma" w:hAnsi="Tahoma" w:cs="Tahoma"/>
          <w:lang w:val="en-US"/>
        </w:rPr>
        <w:t>uptake</w:t>
      </w:r>
      <w:r w:rsidR="00CE1A61" w:rsidRPr="00B0530D">
        <w:rPr>
          <w:rFonts w:ascii="Tahoma" w:hAnsi="Tahoma" w:cs="Tahoma"/>
          <w:lang w:val="en-US"/>
        </w:rPr>
        <w:t xml:space="preserve">, equity, efficiency </w:t>
      </w:r>
      <w:r w:rsidR="002B319F" w:rsidRPr="00B0530D">
        <w:rPr>
          <w:rFonts w:ascii="Tahoma" w:hAnsi="Tahoma" w:cs="Tahoma"/>
          <w:lang w:val="en-US"/>
        </w:rPr>
        <w:t xml:space="preserve">and quality of </w:t>
      </w:r>
      <w:r w:rsidR="002E0F73" w:rsidRPr="00B0530D">
        <w:rPr>
          <w:rFonts w:ascii="Tahoma" w:hAnsi="Tahoma" w:cs="Tahoma"/>
          <w:lang w:val="en-US"/>
        </w:rPr>
        <w:t>A</w:t>
      </w:r>
      <w:r w:rsidR="002B319F" w:rsidRPr="00B0530D">
        <w:rPr>
          <w:rFonts w:ascii="Tahoma" w:hAnsi="Tahoma" w:cs="Tahoma"/>
          <w:lang w:val="en-US"/>
        </w:rPr>
        <w:t>SRHR services</w:t>
      </w:r>
      <w:r w:rsidR="00501C70" w:rsidRPr="00B0530D">
        <w:rPr>
          <w:rFonts w:ascii="Tahoma" w:hAnsi="Tahoma" w:cs="Tahoma"/>
          <w:lang w:val="en-US"/>
        </w:rPr>
        <w:t xml:space="preserve"> especially in light of the Covid-19</w:t>
      </w:r>
      <w:r w:rsidR="00094A63" w:rsidRPr="00B0530D">
        <w:rPr>
          <w:rFonts w:ascii="Tahoma" w:hAnsi="Tahoma" w:cs="Tahoma"/>
          <w:lang w:val="en-US"/>
        </w:rPr>
        <w:t xml:space="preserve"> pandemic</w:t>
      </w:r>
      <w:r w:rsidR="002B319F" w:rsidRPr="00B0530D">
        <w:rPr>
          <w:rFonts w:ascii="Tahoma" w:hAnsi="Tahoma" w:cs="Tahoma"/>
          <w:lang w:val="en-US"/>
        </w:rPr>
        <w:t>.</w:t>
      </w:r>
      <w:r w:rsidR="00347BE6">
        <w:rPr>
          <w:rFonts w:ascii="Tahoma" w:hAnsi="Tahoma" w:cs="Tahoma"/>
          <w:lang w:val="en-US"/>
        </w:rPr>
        <w:t xml:space="preserve"> </w:t>
      </w:r>
      <w:r w:rsidR="00347BE6" w:rsidRPr="00347BE6">
        <w:rPr>
          <w:rFonts w:ascii="Tahoma" w:hAnsi="Tahoma" w:cs="Tahoma"/>
          <w:b/>
          <w:lang w:val="en-US"/>
        </w:rPr>
        <w:t>Annex A</w:t>
      </w:r>
      <w:r w:rsidR="00347BE6">
        <w:rPr>
          <w:rFonts w:ascii="Tahoma" w:hAnsi="Tahoma" w:cs="Tahoma"/>
          <w:lang w:val="en-US"/>
        </w:rPr>
        <w:t xml:space="preserve">, shows extracts of policies or guidelines used to support the development of this checklist. </w:t>
      </w:r>
    </w:p>
    <w:p w14:paraId="4FDFD7F7" w14:textId="77777777" w:rsidR="00E45EC4" w:rsidRDefault="00E45EC4" w:rsidP="00090106">
      <w:pPr>
        <w:spacing w:after="0" w:line="240" w:lineRule="auto"/>
        <w:jc w:val="both"/>
        <w:rPr>
          <w:rFonts w:ascii="Tahoma" w:hAnsi="Tahoma" w:cs="Tahoma"/>
          <w:lang w:val="en-US"/>
        </w:rPr>
      </w:pPr>
    </w:p>
    <w:p w14:paraId="596D072E" w14:textId="77777777" w:rsidR="00E45EC4" w:rsidRPr="00E45EC4" w:rsidRDefault="00E45EC4" w:rsidP="00090106">
      <w:pPr>
        <w:spacing w:after="0" w:line="240" w:lineRule="auto"/>
        <w:jc w:val="both"/>
        <w:rPr>
          <w:rFonts w:ascii="Tahoma" w:hAnsi="Tahoma" w:cs="Tahoma"/>
          <w:color w:val="FF0000"/>
          <w:lang w:val="en-US"/>
        </w:rPr>
      </w:pPr>
      <w:r w:rsidRPr="00E45EC4">
        <w:rPr>
          <w:rFonts w:ascii="Tahoma" w:hAnsi="Tahoma" w:cs="Tahoma"/>
          <w:color w:val="FF0000"/>
          <w:lang w:val="en-US"/>
        </w:rPr>
        <w:t>Pleas</w:t>
      </w:r>
      <w:r>
        <w:rPr>
          <w:rFonts w:ascii="Tahoma" w:hAnsi="Tahoma" w:cs="Tahoma"/>
          <w:color w:val="FF0000"/>
          <w:lang w:val="en-US"/>
        </w:rPr>
        <w:t>e use the checklist to assess the current situation on ASRHR in your country. Tick ‘Yes’ or ‘No’ as applicable and add comments to explain the selection.</w:t>
      </w:r>
    </w:p>
    <w:tbl>
      <w:tblPr>
        <w:tblStyle w:val="TableGrid"/>
        <w:tblW w:w="0" w:type="auto"/>
        <w:tblLook w:val="04A0" w:firstRow="1" w:lastRow="0" w:firstColumn="1" w:lastColumn="0" w:noHBand="0" w:noVBand="1"/>
      </w:tblPr>
      <w:tblGrid>
        <w:gridCol w:w="3557"/>
        <w:gridCol w:w="639"/>
        <w:gridCol w:w="555"/>
        <w:gridCol w:w="4265"/>
      </w:tblGrid>
      <w:tr w:rsidR="00E45EC4" w:rsidRPr="00E45EC4" w14:paraId="58EA4313" w14:textId="77777777" w:rsidTr="00B45121">
        <w:trPr>
          <w:tblHeader/>
        </w:trPr>
        <w:tc>
          <w:tcPr>
            <w:tcW w:w="3557" w:type="dxa"/>
          </w:tcPr>
          <w:p w14:paraId="46B9517E" w14:textId="77777777" w:rsidR="00E45EC4" w:rsidRPr="00E45EC4" w:rsidRDefault="005D3DDE" w:rsidP="00E45EC4">
            <w:pPr>
              <w:jc w:val="both"/>
              <w:rPr>
                <w:rFonts w:ascii="Tahoma" w:eastAsia="Times New Roman" w:hAnsi="Tahoma" w:cs="Tahoma"/>
                <w:b/>
                <w:bCs/>
                <w:lang w:eastAsia="en-ZW"/>
              </w:rPr>
            </w:pPr>
            <w:r>
              <w:rPr>
                <w:rFonts w:ascii="Tahoma" w:eastAsia="Times New Roman" w:hAnsi="Tahoma" w:cs="Tahoma"/>
                <w:b/>
                <w:bCs/>
                <w:lang w:eastAsia="en-ZW"/>
              </w:rPr>
              <w:t>CRITERIA</w:t>
            </w:r>
          </w:p>
        </w:tc>
        <w:tc>
          <w:tcPr>
            <w:tcW w:w="639" w:type="dxa"/>
          </w:tcPr>
          <w:p w14:paraId="4E782A2F" w14:textId="77777777" w:rsidR="00E45EC4" w:rsidRDefault="005D3DDE" w:rsidP="00E45EC4">
            <w:pPr>
              <w:jc w:val="both"/>
              <w:rPr>
                <w:rFonts w:ascii="Tahoma" w:eastAsia="Times New Roman" w:hAnsi="Tahoma" w:cs="Tahoma"/>
                <w:b/>
                <w:bCs/>
                <w:lang w:eastAsia="en-ZW"/>
              </w:rPr>
            </w:pPr>
            <w:r>
              <w:rPr>
                <w:rFonts w:ascii="Tahoma" w:eastAsia="Times New Roman" w:hAnsi="Tahoma" w:cs="Tahoma"/>
                <w:b/>
                <w:bCs/>
                <w:lang w:eastAsia="en-ZW"/>
              </w:rPr>
              <w:t>YES</w:t>
            </w:r>
          </w:p>
        </w:tc>
        <w:tc>
          <w:tcPr>
            <w:tcW w:w="555" w:type="dxa"/>
          </w:tcPr>
          <w:p w14:paraId="72F73DFD" w14:textId="77777777" w:rsidR="00E45EC4" w:rsidRDefault="005D3DDE" w:rsidP="00E45EC4">
            <w:pPr>
              <w:jc w:val="both"/>
              <w:rPr>
                <w:rFonts w:ascii="Tahoma" w:eastAsia="Times New Roman" w:hAnsi="Tahoma" w:cs="Tahoma"/>
                <w:b/>
                <w:bCs/>
                <w:lang w:eastAsia="en-ZW"/>
              </w:rPr>
            </w:pPr>
            <w:r>
              <w:rPr>
                <w:rFonts w:ascii="Tahoma" w:eastAsia="Times New Roman" w:hAnsi="Tahoma" w:cs="Tahoma"/>
                <w:b/>
                <w:bCs/>
                <w:lang w:eastAsia="en-ZW"/>
              </w:rPr>
              <w:t>NO</w:t>
            </w:r>
          </w:p>
        </w:tc>
        <w:tc>
          <w:tcPr>
            <w:tcW w:w="4265" w:type="dxa"/>
          </w:tcPr>
          <w:p w14:paraId="121208DA" w14:textId="77777777" w:rsidR="00E45EC4" w:rsidRDefault="005D3DDE" w:rsidP="00E45EC4">
            <w:pPr>
              <w:jc w:val="both"/>
              <w:rPr>
                <w:rFonts w:ascii="Tahoma" w:eastAsia="Times New Roman" w:hAnsi="Tahoma" w:cs="Tahoma"/>
                <w:b/>
                <w:bCs/>
                <w:lang w:eastAsia="en-ZW"/>
              </w:rPr>
            </w:pPr>
            <w:r>
              <w:rPr>
                <w:rFonts w:ascii="Tahoma" w:eastAsia="Times New Roman" w:hAnsi="Tahoma" w:cs="Tahoma"/>
                <w:b/>
                <w:bCs/>
                <w:lang w:eastAsia="en-ZW"/>
              </w:rPr>
              <w:t>COMMENTS</w:t>
            </w:r>
          </w:p>
        </w:tc>
      </w:tr>
      <w:tr w:rsidR="00E45EC4" w:rsidRPr="00E45EC4" w14:paraId="05132B2C" w14:textId="77777777" w:rsidTr="00B45121">
        <w:tc>
          <w:tcPr>
            <w:tcW w:w="9016" w:type="dxa"/>
            <w:gridSpan w:val="4"/>
            <w:shd w:val="clear" w:color="auto" w:fill="BFBFBF" w:themeFill="background1" w:themeFillShade="BF"/>
          </w:tcPr>
          <w:p w14:paraId="2E1C0C5E" w14:textId="77777777" w:rsidR="00E45EC4" w:rsidRPr="00E45EC4" w:rsidRDefault="00E45EC4" w:rsidP="005417B1">
            <w:pPr>
              <w:jc w:val="both"/>
              <w:rPr>
                <w:rFonts w:ascii="Tahoma" w:eastAsia="Times New Roman" w:hAnsi="Tahoma" w:cs="Tahoma"/>
                <w:b/>
                <w:bCs/>
                <w:lang w:eastAsia="en-ZW"/>
              </w:rPr>
            </w:pPr>
            <w:r w:rsidRPr="00E45EC4">
              <w:rPr>
                <w:rFonts w:ascii="Tahoma" w:eastAsia="Times New Roman" w:hAnsi="Tahoma" w:cs="Tahoma"/>
                <w:b/>
                <w:bCs/>
                <w:lang w:eastAsia="en-ZW"/>
              </w:rPr>
              <w:t>ASRHR legal and Policy Framework</w:t>
            </w:r>
          </w:p>
        </w:tc>
      </w:tr>
      <w:tr w:rsidR="00E45EC4" w:rsidRPr="00E45EC4" w14:paraId="4006A135" w14:textId="77777777" w:rsidTr="00B45121">
        <w:tc>
          <w:tcPr>
            <w:tcW w:w="3557" w:type="dxa"/>
          </w:tcPr>
          <w:p w14:paraId="4B6BF33A" w14:textId="77777777" w:rsidR="00E45EC4" w:rsidRPr="00E45EC4" w:rsidRDefault="00E45EC4" w:rsidP="00E45EC4">
            <w:pPr>
              <w:pStyle w:val="ListParagraph"/>
              <w:numPr>
                <w:ilvl w:val="0"/>
                <w:numId w:val="28"/>
              </w:numPr>
              <w:jc w:val="both"/>
              <w:rPr>
                <w:rFonts w:ascii="Tahoma" w:eastAsia="Times New Roman" w:hAnsi="Tahoma" w:cs="Tahoma"/>
                <w:lang w:eastAsia="en-ZW"/>
              </w:rPr>
            </w:pPr>
            <w:r w:rsidRPr="00E45EC4">
              <w:rPr>
                <w:rFonts w:ascii="Tahoma" w:eastAsia="Times New Roman" w:hAnsi="Tahoma" w:cs="Tahoma"/>
                <w:lang w:eastAsia="en-ZW"/>
              </w:rPr>
              <w:t>There is a specific (stand-alone) ASRHR policy and or guidelines that supports a rights-based framework for ASRHR and is aligned with regional and international commitments on ASRHR.</w:t>
            </w:r>
          </w:p>
        </w:tc>
        <w:tc>
          <w:tcPr>
            <w:tcW w:w="639" w:type="dxa"/>
          </w:tcPr>
          <w:p w14:paraId="075ED369" w14:textId="77777777" w:rsidR="00E45EC4" w:rsidRPr="00E45EC4" w:rsidRDefault="00E45EC4" w:rsidP="00E45EC4">
            <w:pPr>
              <w:ind w:left="360"/>
              <w:jc w:val="both"/>
              <w:rPr>
                <w:rFonts w:ascii="Tahoma" w:eastAsia="Times New Roman" w:hAnsi="Tahoma" w:cs="Tahoma"/>
                <w:lang w:eastAsia="en-ZW"/>
              </w:rPr>
            </w:pPr>
          </w:p>
        </w:tc>
        <w:tc>
          <w:tcPr>
            <w:tcW w:w="555" w:type="dxa"/>
          </w:tcPr>
          <w:p w14:paraId="5BE126BA" w14:textId="77777777" w:rsidR="00E45EC4" w:rsidRPr="00E45EC4" w:rsidRDefault="00E45EC4" w:rsidP="00E45EC4">
            <w:pPr>
              <w:ind w:left="360"/>
              <w:jc w:val="both"/>
              <w:rPr>
                <w:rFonts w:ascii="Tahoma" w:eastAsia="Times New Roman" w:hAnsi="Tahoma" w:cs="Tahoma"/>
                <w:lang w:eastAsia="en-ZW"/>
              </w:rPr>
            </w:pPr>
          </w:p>
        </w:tc>
        <w:tc>
          <w:tcPr>
            <w:tcW w:w="4265" w:type="dxa"/>
          </w:tcPr>
          <w:p w14:paraId="6797A7A0" w14:textId="77777777" w:rsidR="00E45EC4" w:rsidRPr="00E45EC4" w:rsidRDefault="00E45EC4" w:rsidP="00E45EC4">
            <w:pPr>
              <w:ind w:left="360"/>
              <w:jc w:val="both"/>
              <w:rPr>
                <w:rFonts w:ascii="Tahoma" w:eastAsia="Times New Roman" w:hAnsi="Tahoma" w:cs="Tahoma"/>
                <w:lang w:eastAsia="en-ZW"/>
              </w:rPr>
            </w:pPr>
          </w:p>
        </w:tc>
      </w:tr>
      <w:tr w:rsidR="00E45EC4" w:rsidRPr="00E45EC4" w14:paraId="2A0C53EB" w14:textId="77777777" w:rsidTr="00B45121">
        <w:tc>
          <w:tcPr>
            <w:tcW w:w="3557" w:type="dxa"/>
          </w:tcPr>
          <w:p w14:paraId="5963404D" w14:textId="77777777" w:rsidR="00E45EC4" w:rsidRPr="00E45EC4" w:rsidRDefault="00E45EC4" w:rsidP="00E45EC4">
            <w:pPr>
              <w:pStyle w:val="ListParagraph"/>
              <w:numPr>
                <w:ilvl w:val="0"/>
                <w:numId w:val="28"/>
              </w:numPr>
              <w:jc w:val="both"/>
              <w:rPr>
                <w:rFonts w:ascii="Tahoma" w:eastAsia="Times New Roman" w:hAnsi="Tahoma" w:cs="Tahoma"/>
                <w:lang w:eastAsia="en-ZW"/>
              </w:rPr>
            </w:pPr>
            <w:r w:rsidRPr="00E45EC4">
              <w:rPr>
                <w:rFonts w:ascii="Tahoma" w:eastAsia="Times New Roman" w:hAnsi="Tahoma" w:cs="Tahoma"/>
                <w:lang w:eastAsia="en-ZW"/>
              </w:rPr>
              <w:t>ASRHR laws and policies allow adolescents and young people to access SRH services without third party authorisation</w:t>
            </w:r>
            <w:r w:rsidRPr="00E45EC4">
              <w:rPr>
                <w:rStyle w:val="FootnoteReference"/>
                <w:rFonts w:ascii="Tahoma" w:eastAsia="Times New Roman" w:hAnsi="Tahoma" w:cs="Tahoma"/>
                <w:lang w:eastAsia="en-ZW"/>
              </w:rPr>
              <w:footnoteReference w:id="1"/>
            </w:r>
            <w:r w:rsidRPr="00E45EC4">
              <w:rPr>
                <w:rFonts w:ascii="Tahoma" w:eastAsia="Times New Roman" w:hAnsi="Tahoma" w:cs="Tahoma"/>
                <w:lang w:eastAsia="en-ZW"/>
              </w:rPr>
              <w:t>.</w:t>
            </w:r>
          </w:p>
        </w:tc>
        <w:tc>
          <w:tcPr>
            <w:tcW w:w="639" w:type="dxa"/>
          </w:tcPr>
          <w:p w14:paraId="4FA69FD7" w14:textId="77777777" w:rsidR="00E45EC4" w:rsidRPr="00E45EC4" w:rsidRDefault="00E45EC4" w:rsidP="00E45EC4">
            <w:pPr>
              <w:ind w:left="360"/>
              <w:jc w:val="both"/>
              <w:rPr>
                <w:rFonts w:ascii="Tahoma" w:eastAsia="Times New Roman" w:hAnsi="Tahoma" w:cs="Tahoma"/>
                <w:lang w:eastAsia="en-ZW"/>
              </w:rPr>
            </w:pPr>
          </w:p>
        </w:tc>
        <w:tc>
          <w:tcPr>
            <w:tcW w:w="555" w:type="dxa"/>
          </w:tcPr>
          <w:p w14:paraId="464EDB17" w14:textId="77777777" w:rsidR="00E45EC4" w:rsidRPr="00E45EC4" w:rsidRDefault="00E45EC4" w:rsidP="00E45EC4">
            <w:pPr>
              <w:ind w:left="360"/>
              <w:jc w:val="both"/>
              <w:rPr>
                <w:rFonts w:ascii="Tahoma" w:eastAsia="Times New Roman" w:hAnsi="Tahoma" w:cs="Tahoma"/>
                <w:lang w:eastAsia="en-ZW"/>
              </w:rPr>
            </w:pPr>
          </w:p>
        </w:tc>
        <w:tc>
          <w:tcPr>
            <w:tcW w:w="4265" w:type="dxa"/>
          </w:tcPr>
          <w:p w14:paraId="5A37CEFB" w14:textId="77777777" w:rsidR="00E45EC4" w:rsidRPr="00E45EC4" w:rsidRDefault="00E45EC4" w:rsidP="00E45EC4">
            <w:pPr>
              <w:ind w:left="360"/>
              <w:jc w:val="both"/>
              <w:rPr>
                <w:rFonts w:ascii="Tahoma" w:eastAsia="Times New Roman" w:hAnsi="Tahoma" w:cs="Tahoma"/>
                <w:lang w:eastAsia="en-ZW"/>
              </w:rPr>
            </w:pPr>
          </w:p>
        </w:tc>
      </w:tr>
      <w:tr w:rsidR="00E45EC4" w:rsidRPr="00E45EC4" w14:paraId="3823B6F4" w14:textId="77777777" w:rsidTr="00B45121">
        <w:tc>
          <w:tcPr>
            <w:tcW w:w="3557" w:type="dxa"/>
          </w:tcPr>
          <w:p w14:paraId="35FC24F4"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eastAsia="Times New Roman" w:hAnsi="Tahoma" w:cs="Tahoma"/>
                <w:lang w:eastAsia="en-ZW"/>
              </w:rPr>
              <w:t>ASRHR legislation and policies are current, and capture adolescents evolving needs.</w:t>
            </w:r>
          </w:p>
        </w:tc>
        <w:tc>
          <w:tcPr>
            <w:tcW w:w="639" w:type="dxa"/>
          </w:tcPr>
          <w:p w14:paraId="25228287" w14:textId="77777777" w:rsidR="00E45EC4" w:rsidRPr="00E45EC4" w:rsidRDefault="00E45EC4" w:rsidP="00E45EC4">
            <w:pPr>
              <w:autoSpaceDE w:val="0"/>
              <w:autoSpaceDN w:val="0"/>
              <w:adjustRightInd w:val="0"/>
              <w:ind w:left="360"/>
              <w:jc w:val="both"/>
              <w:rPr>
                <w:rFonts w:ascii="Tahoma" w:eastAsia="Times New Roman" w:hAnsi="Tahoma" w:cs="Tahoma"/>
                <w:lang w:eastAsia="en-ZW"/>
              </w:rPr>
            </w:pPr>
          </w:p>
        </w:tc>
        <w:tc>
          <w:tcPr>
            <w:tcW w:w="555" w:type="dxa"/>
          </w:tcPr>
          <w:p w14:paraId="37F63F5F" w14:textId="77777777" w:rsidR="00E45EC4" w:rsidRPr="00E45EC4" w:rsidRDefault="00E45EC4" w:rsidP="00E45EC4">
            <w:pPr>
              <w:autoSpaceDE w:val="0"/>
              <w:autoSpaceDN w:val="0"/>
              <w:adjustRightInd w:val="0"/>
              <w:ind w:left="360"/>
              <w:jc w:val="both"/>
              <w:rPr>
                <w:rFonts w:ascii="Tahoma" w:eastAsia="Times New Roman" w:hAnsi="Tahoma" w:cs="Tahoma"/>
                <w:lang w:eastAsia="en-ZW"/>
              </w:rPr>
            </w:pPr>
          </w:p>
        </w:tc>
        <w:tc>
          <w:tcPr>
            <w:tcW w:w="4265" w:type="dxa"/>
          </w:tcPr>
          <w:p w14:paraId="7CEA008A" w14:textId="77777777" w:rsidR="00E45EC4" w:rsidRPr="00E45EC4" w:rsidRDefault="00E45EC4" w:rsidP="00E45EC4">
            <w:pPr>
              <w:autoSpaceDE w:val="0"/>
              <w:autoSpaceDN w:val="0"/>
              <w:adjustRightInd w:val="0"/>
              <w:ind w:left="360"/>
              <w:jc w:val="both"/>
              <w:rPr>
                <w:rFonts w:ascii="Tahoma" w:eastAsia="Times New Roman" w:hAnsi="Tahoma" w:cs="Tahoma"/>
                <w:lang w:eastAsia="en-ZW"/>
              </w:rPr>
            </w:pPr>
          </w:p>
        </w:tc>
      </w:tr>
      <w:tr w:rsidR="00E45EC4" w:rsidRPr="00E45EC4" w14:paraId="72113F99" w14:textId="77777777" w:rsidTr="00B45121">
        <w:tc>
          <w:tcPr>
            <w:tcW w:w="3557" w:type="dxa"/>
          </w:tcPr>
          <w:p w14:paraId="4D2E7C31" w14:textId="77777777" w:rsidR="00E45EC4" w:rsidRPr="00E45EC4" w:rsidRDefault="00E45EC4" w:rsidP="00E45EC4">
            <w:pPr>
              <w:pStyle w:val="ListParagraph"/>
              <w:numPr>
                <w:ilvl w:val="0"/>
                <w:numId w:val="28"/>
              </w:numPr>
              <w:autoSpaceDE w:val="0"/>
              <w:autoSpaceDN w:val="0"/>
              <w:adjustRightInd w:val="0"/>
              <w:jc w:val="both"/>
              <w:rPr>
                <w:rFonts w:ascii="Tahoma" w:eastAsia="Times New Roman" w:hAnsi="Tahoma" w:cs="Tahoma"/>
                <w:lang w:eastAsia="en-ZW"/>
              </w:rPr>
            </w:pPr>
            <w:r w:rsidRPr="00E45EC4">
              <w:rPr>
                <w:rFonts w:ascii="Tahoma" w:hAnsi="Tahoma" w:cs="Tahoma"/>
              </w:rPr>
              <w:t>Abortion laws and policies enable adolescents to obtain safe abortion services than create situations that lead adolescents to seek unsafe abortions</w:t>
            </w:r>
            <w:r w:rsidRPr="00E45EC4">
              <w:rPr>
                <w:rStyle w:val="FootnoteReference"/>
                <w:rFonts w:ascii="Tahoma" w:hAnsi="Tahoma" w:cs="Tahoma"/>
              </w:rPr>
              <w:footnoteReference w:id="2"/>
            </w:r>
            <w:r w:rsidRPr="00E45EC4">
              <w:rPr>
                <w:rFonts w:ascii="Tahoma" w:hAnsi="Tahoma" w:cs="Tahoma"/>
              </w:rPr>
              <w:t>.</w:t>
            </w:r>
          </w:p>
        </w:tc>
        <w:tc>
          <w:tcPr>
            <w:tcW w:w="639" w:type="dxa"/>
          </w:tcPr>
          <w:p w14:paraId="0B5F3D92" w14:textId="77777777" w:rsidR="00E45EC4" w:rsidRPr="00E45EC4" w:rsidRDefault="00E45EC4" w:rsidP="00E45EC4">
            <w:pPr>
              <w:autoSpaceDE w:val="0"/>
              <w:autoSpaceDN w:val="0"/>
              <w:adjustRightInd w:val="0"/>
              <w:ind w:left="360"/>
              <w:jc w:val="both"/>
              <w:rPr>
                <w:rFonts w:ascii="Tahoma" w:hAnsi="Tahoma" w:cs="Tahoma"/>
              </w:rPr>
            </w:pPr>
          </w:p>
        </w:tc>
        <w:tc>
          <w:tcPr>
            <w:tcW w:w="555" w:type="dxa"/>
          </w:tcPr>
          <w:p w14:paraId="5FC9AE61" w14:textId="77777777" w:rsidR="00E45EC4" w:rsidRPr="00E45EC4" w:rsidRDefault="00E45EC4" w:rsidP="00E45EC4">
            <w:pPr>
              <w:autoSpaceDE w:val="0"/>
              <w:autoSpaceDN w:val="0"/>
              <w:adjustRightInd w:val="0"/>
              <w:ind w:left="360"/>
              <w:jc w:val="both"/>
              <w:rPr>
                <w:rFonts w:ascii="Tahoma" w:hAnsi="Tahoma" w:cs="Tahoma"/>
              </w:rPr>
            </w:pPr>
          </w:p>
        </w:tc>
        <w:tc>
          <w:tcPr>
            <w:tcW w:w="4265" w:type="dxa"/>
          </w:tcPr>
          <w:p w14:paraId="57339CBF" w14:textId="77777777" w:rsidR="00E45EC4" w:rsidRPr="00E45EC4" w:rsidRDefault="00E45EC4" w:rsidP="00E45EC4">
            <w:pPr>
              <w:autoSpaceDE w:val="0"/>
              <w:autoSpaceDN w:val="0"/>
              <w:adjustRightInd w:val="0"/>
              <w:ind w:left="360"/>
              <w:jc w:val="both"/>
              <w:rPr>
                <w:rFonts w:ascii="Tahoma" w:hAnsi="Tahoma" w:cs="Tahoma"/>
              </w:rPr>
            </w:pPr>
          </w:p>
        </w:tc>
      </w:tr>
      <w:tr w:rsidR="005D3DDE" w:rsidRPr="00E45EC4" w14:paraId="16DE3314" w14:textId="77777777" w:rsidTr="00B45121">
        <w:tc>
          <w:tcPr>
            <w:tcW w:w="9016" w:type="dxa"/>
            <w:gridSpan w:val="4"/>
            <w:shd w:val="clear" w:color="auto" w:fill="BFBFBF" w:themeFill="background1" w:themeFillShade="BF"/>
          </w:tcPr>
          <w:p w14:paraId="1AC1C639" w14:textId="77777777" w:rsidR="005D3DDE" w:rsidRPr="00E45EC4" w:rsidRDefault="005D3DDE" w:rsidP="00E45EC4">
            <w:pPr>
              <w:jc w:val="both"/>
              <w:rPr>
                <w:rFonts w:ascii="Tahoma" w:eastAsia="Times New Roman" w:hAnsi="Tahoma" w:cs="Tahoma"/>
                <w:b/>
                <w:bCs/>
                <w:lang w:eastAsia="en-ZW"/>
              </w:rPr>
            </w:pPr>
            <w:r w:rsidRPr="00E45EC4">
              <w:rPr>
                <w:rFonts w:ascii="Tahoma" w:eastAsia="Times New Roman" w:hAnsi="Tahoma" w:cs="Tahoma"/>
                <w:b/>
                <w:bCs/>
                <w:lang w:eastAsia="en-ZW"/>
              </w:rPr>
              <w:t>Access to ASRHR services</w:t>
            </w:r>
            <w:r w:rsidRPr="00E45EC4">
              <w:rPr>
                <w:rStyle w:val="FootnoteReference"/>
                <w:rFonts w:ascii="Tahoma" w:eastAsia="Times New Roman" w:hAnsi="Tahoma" w:cs="Tahoma"/>
                <w:b/>
                <w:bCs/>
                <w:lang w:eastAsia="en-ZW"/>
              </w:rPr>
              <w:footnoteReference w:id="3"/>
            </w:r>
            <w:r w:rsidRPr="00E45EC4">
              <w:rPr>
                <w:rFonts w:ascii="Tahoma" w:eastAsia="Times New Roman" w:hAnsi="Tahoma" w:cs="Tahoma"/>
                <w:b/>
                <w:bCs/>
                <w:lang w:eastAsia="en-ZW"/>
              </w:rPr>
              <w:t xml:space="preserve"> </w:t>
            </w:r>
          </w:p>
        </w:tc>
      </w:tr>
      <w:tr w:rsidR="00E45EC4" w:rsidRPr="00E45EC4" w14:paraId="2D2F6BE9" w14:textId="77777777" w:rsidTr="00B45121">
        <w:tc>
          <w:tcPr>
            <w:tcW w:w="3557" w:type="dxa"/>
          </w:tcPr>
          <w:p w14:paraId="655A4CD9"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lastRenderedPageBreak/>
              <w:t>All health facilities offer free services and there are no other barriers to ensure equitable access to health-care services, including the full package of SRHR interventions as defined by the International Conference on Population and Development (ICPD).</w:t>
            </w:r>
          </w:p>
        </w:tc>
        <w:tc>
          <w:tcPr>
            <w:tcW w:w="639" w:type="dxa"/>
          </w:tcPr>
          <w:p w14:paraId="5442FEB7" w14:textId="77777777" w:rsidR="00E45EC4" w:rsidRPr="00E45EC4" w:rsidRDefault="00E45EC4" w:rsidP="00E45EC4">
            <w:pPr>
              <w:ind w:left="360"/>
              <w:jc w:val="both"/>
              <w:rPr>
                <w:rFonts w:ascii="Tahoma" w:hAnsi="Tahoma" w:cs="Tahoma"/>
              </w:rPr>
            </w:pPr>
          </w:p>
        </w:tc>
        <w:tc>
          <w:tcPr>
            <w:tcW w:w="555" w:type="dxa"/>
          </w:tcPr>
          <w:p w14:paraId="2932A32D" w14:textId="77777777" w:rsidR="00E45EC4" w:rsidRPr="00E45EC4" w:rsidRDefault="00E45EC4" w:rsidP="00E45EC4">
            <w:pPr>
              <w:ind w:left="360"/>
              <w:jc w:val="both"/>
              <w:rPr>
                <w:rFonts w:ascii="Tahoma" w:hAnsi="Tahoma" w:cs="Tahoma"/>
              </w:rPr>
            </w:pPr>
          </w:p>
        </w:tc>
        <w:tc>
          <w:tcPr>
            <w:tcW w:w="4265" w:type="dxa"/>
          </w:tcPr>
          <w:p w14:paraId="16AAB005" w14:textId="77777777" w:rsidR="00E45EC4" w:rsidRPr="00E45EC4" w:rsidRDefault="00E45EC4" w:rsidP="00E45EC4">
            <w:pPr>
              <w:ind w:left="360"/>
              <w:jc w:val="both"/>
              <w:rPr>
                <w:rFonts w:ascii="Tahoma" w:hAnsi="Tahoma" w:cs="Tahoma"/>
              </w:rPr>
            </w:pPr>
          </w:p>
        </w:tc>
      </w:tr>
      <w:tr w:rsidR="00E45EC4" w:rsidRPr="00E45EC4" w14:paraId="0D1003AF" w14:textId="77777777" w:rsidTr="00B45121">
        <w:tc>
          <w:tcPr>
            <w:tcW w:w="3557" w:type="dxa"/>
          </w:tcPr>
          <w:p w14:paraId="0F4B970C"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Health facilities address the range of social, economic, cultural and systemic challenges so that all adolescents and young people have universal access to quality health-care services across their life cycle.</w:t>
            </w:r>
          </w:p>
        </w:tc>
        <w:tc>
          <w:tcPr>
            <w:tcW w:w="639" w:type="dxa"/>
          </w:tcPr>
          <w:p w14:paraId="61EE732F" w14:textId="77777777" w:rsidR="00E45EC4" w:rsidRPr="00E45EC4" w:rsidRDefault="00E45EC4" w:rsidP="00E45EC4">
            <w:pPr>
              <w:ind w:left="360"/>
              <w:jc w:val="both"/>
              <w:rPr>
                <w:rFonts w:ascii="Tahoma" w:hAnsi="Tahoma" w:cs="Tahoma"/>
              </w:rPr>
            </w:pPr>
          </w:p>
        </w:tc>
        <w:tc>
          <w:tcPr>
            <w:tcW w:w="555" w:type="dxa"/>
          </w:tcPr>
          <w:p w14:paraId="13C5CB63" w14:textId="77777777" w:rsidR="00E45EC4" w:rsidRPr="00E45EC4" w:rsidRDefault="00E45EC4" w:rsidP="00E45EC4">
            <w:pPr>
              <w:ind w:left="360"/>
              <w:jc w:val="both"/>
              <w:rPr>
                <w:rFonts w:ascii="Tahoma" w:hAnsi="Tahoma" w:cs="Tahoma"/>
              </w:rPr>
            </w:pPr>
          </w:p>
        </w:tc>
        <w:tc>
          <w:tcPr>
            <w:tcW w:w="4265" w:type="dxa"/>
          </w:tcPr>
          <w:p w14:paraId="26184B5D" w14:textId="77777777" w:rsidR="00E45EC4" w:rsidRPr="00E45EC4" w:rsidRDefault="00E45EC4" w:rsidP="00E45EC4">
            <w:pPr>
              <w:ind w:left="360"/>
              <w:jc w:val="both"/>
              <w:rPr>
                <w:rFonts w:ascii="Tahoma" w:hAnsi="Tahoma" w:cs="Tahoma"/>
              </w:rPr>
            </w:pPr>
          </w:p>
        </w:tc>
      </w:tr>
      <w:tr w:rsidR="00E45EC4" w:rsidRPr="00E45EC4" w14:paraId="0DEC314F" w14:textId="77777777" w:rsidTr="00B45121">
        <w:tc>
          <w:tcPr>
            <w:tcW w:w="3557" w:type="dxa"/>
          </w:tcPr>
          <w:p w14:paraId="3A69FC55"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Health facilities are within 10km of adolescent homes</w:t>
            </w:r>
            <w:r w:rsidRPr="00E45EC4">
              <w:rPr>
                <w:rStyle w:val="FootnoteReference"/>
                <w:rFonts w:ascii="Tahoma" w:hAnsi="Tahoma" w:cs="Tahoma"/>
              </w:rPr>
              <w:footnoteReference w:id="4"/>
            </w:r>
            <w:r w:rsidRPr="00E45EC4">
              <w:rPr>
                <w:rFonts w:ascii="Tahoma" w:hAnsi="Tahoma" w:cs="Tahoma"/>
              </w:rPr>
              <w:t>.</w:t>
            </w:r>
          </w:p>
        </w:tc>
        <w:tc>
          <w:tcPr>
            <w:tcW w:w="639" w:type="dxa"/>
          </w:tcPr>
          <w:p w14:paraId="0F0225B8" w14:textId="77777777" w:rsidR="00E45EC4" w:rsidRPr="00E45EC4" w:rsidRDefault="00E45EC4" w:rsidP="00E45EC4">
            <w:pPr>
              <w:ind w:left="360"/>
              <w:jc w:val="both"/>
              <w:rPr>
                <w:rFonts w:ascii="Tahoma" w:hAnsi="Tahoma" w:cs="Tahoma"/>
              </w:rPr>
            </w:pPr>
          </w:p>
        </w:tc>
        <w:tc>
          <w:tcPr>
            <w:tcW w:w="555" w:type="dxa"/>
          </w:tcPr>
          <w:p w14:paraId="606DB957" w14:textId="77777777" w:rsidR="00E45EC4" w:rsidRPr="00E45EC4" w:rsidRDefault="00E45EC4" w:rsidP="00E45EC4">
            <w:pPr>
              <w:ind w:left="360"/>
              <w:jc w:val="both"/>
              <w:rPr>
                <w:rFonts w:ascii="Tahoma" w:hAnsi="Tahoma" w:cs="Tahoma"/>
              </w:rPr>
            </w:pPr>
          </w:p>
        </w:tc>
        <w:tc>
          <w:tcPr>
            <w:tcW w:w="4265" w:type="dxa"/>
          </w:tcPr>
          <w:p w14:paraId="6C6C32F7" w14:textId="77777777" w:rsidR="00E45EC4" w:rsidRPr="00E45EC4" w:rsidRDefault="00E45EC4" w:rsidP="00E45EC4">
            <w:pPr>
              <w:ind w:left="360"/>
              <w:jc w:val="both"/>
              <w:rPr>
                <w:rFonts w:ascii="Tahoma" w:hAnsi="Tahoma" w:cs="Tahoma"/>
              </w:rPr>
            </w:pPr>
          </w:p>
        </w:tc>
      </w:tr>
      <w:tr w:rsidR="00E45EC4" w:rsidRPr="00E45EC4" w14:paraId="542CA1ED" w14:textId="77777777" w:rsidTr="00B45121">
        <w:tc>
          <w:tcPr>
            <w:tcW w:w="3557" w:type="dxa"/>
          </w:tcPr>
          <w:p w14:paraId="392C55AD"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Health facilities offer services that are convenient to adolescent s and young people including after school hours and during weekends.</w:t>
            </w:r>
            <w:r w:rsidRPr="00E45EC4">
              <w:rPr>
                <w:rStyle w:val="FootnoteReference"/>
                <w:rFonts w:ascii="Tahoma" w:hAnsi="Tahoma" w:cs="Tahoma"/>
              </w:rPr>
              <w:footnoteReference w:id="5"/>
            </w:r>
          </w:p>
        </w:tc>
        <w:tc>
          <w:tcPr>
            <w:tcW w:w="639" w:type="dxa"/>
          </w:tcPr>
          <w:p w14:paraId="74DFAD9A" w14:textId="77777777" w:rsidR="00E45EC4" w:rsidRPr="00E45EC4" w:rsidRDefault="00E45EC4" w:rsidP="00E45EC4">
            <w:pPr>
              <w:ind w:left="360"/>
              <w:jc w:val="both"/>
              <w:rPr>
                <w:rFonts w:ascii="Tahoma" w:hAnsi="Tahoma" w:cs="Tahoma"/>
              </w:rPr>
            </w:pPr>
          </w:p>
        </w:tc>
        <w:tc>
          <w:tcPr>
            <w:tcW w:w="555" w:type="dxa"/>
          </w:tcPr>
          <w:p w14:paraId="4413F265" w14:textId="77777777" w:rsidR="00E45EC4" w:rsidRPr="00E45EC4" w:rsidRDefault="00E45EC4" w:rsidP="00E45EC4">
            <w:pPr>
              <w:ind w:left="360"/>
              <w:jc w:val="both"/>
              <w:rPr>
                <w:rFonts w:ascii="Tahoma" w:hAnsi="Tahoma" w:cs="Tahoma"/>
              </w:rPr>
            </w:pPr>
          </w:p>
        </w:tc>
        <w:tc>
          <w:tcPr>
            <w:tcW w:w="4265" w:type="dxa"/>
          </w:tcPr>
          <w:p w14:paraId="4C46D380" w14:textId="77777777" w:rsidR="00E45EC4" w:rsidRPr="00E45EC4" w:rsidRDefault="00E45EC4" w:rsidP="00E45EC4">
            <w:pPr>
              <w:ind w:left="360"/>
              <w:jc w:val="both"/>
              <w:rPr>
                <w:rFonts w:ascii="Tahoma" w:hAnsi="Tahoma" w:cs="Tahoma"/>
              </w:rPr>
            </w:pPr>
          </w:p>
        </w:tc>
      </w:tr>
      <w:tr w:rsidR="00E45EC4" w:rsidRPr="00E45EC4" w14:paraId="401F644C" w14:textId="77777777" w:rsidTr="00B45121">
        <w:tc>
          <w:tcPr>
            <w:tcW w:w="3557" w:type="dxa"/>
          </w:tcPr>
          <w:p w14:paraId="4F4CE56D"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Health system ensures the presence of peer counsellors in all health facilities as a component of youth friendly services.</w:t>
            </w:r>
            <w:r w:rsidRPr="00E45EC4">
              <w:rPr>
                <w:rStyle w:val="FootnoteReference"/>
                <w:rFonts w:ascii="Tahoma" w:hAnsi="Tahoma" w:cs="Tahoma"/>
              </w:rPr>
              <w:footnoteReference w:id="6"/>
            </w:r>
          </w:p>
        </w:tc>
        <w:tc>
          <w:tcPr>
            <w:tcW w:w="639" w:type="dxa"/>
          </w:tcPr>
          <w:p w14:paraId="540A68C1" w14:textId="77777777" w:rsidR="00E45EC4" w:rsidRPr="00E45EC4" w:rsidRDefault="00E45EC4" w:rsidP="00E45EC4">
            <w:pPr>
              <w:ind w:left="360"/>
              <w:jc w:val="both"/>
              <w:rPr>
                <w:rFonts w:ascii="Tahoma" w:hAnsi="Tahoma" w:cs="Tahoma"/>
              </w:rPr>
            </w:pPr>
          </w:p>
        </w:tc>
        <w:tc>
          <w:tcPr>
            <w:tcW w:w="555" w:type="dxa"/>
          </w:tcPr>
          <w:p w14:paraId="2E618C01" w14:textId="77777777" w:rsidR="00E45EC4" w:rsidRPr="00E45EC4" w:rsidRDefault="00E45EC4" w:rsidP="00E45EC4">
            <w:pPr>
              <w:ind w:left="360"/>
              <w:jc w:val="both"/>
              <w:rPr>
                <w:rFonts w:ascii="Tahoma" w:hAnsi="Tahoma" w:cs="Tahoma"/>
              </w:rPr>
            </w:pPr>
          </w:p>
        </w:tc>
        <w:tc>
          <w:tcPr>
            <w:tcW w:w="4265" w:type="dxa"/>
          </w:tcPr>
          <w:p w14:paraId="6F44DEAC" w14:textId="77777777" w:rsidR="00E45EC4" w:rsidRPr="00E45EC4" w:rsidRDefault="00E45EC4" w:rsidP="00E45EC4">
            <w:pPr>
              <w:ind w:left="360"/>
              <w:jc w:val="both"/>
              <w:rPr>
                <w:rFonts w:ascii="Tahoma" w:hAnsi="Tahoma" w:cs="Tahoma"/>
              </w:rPr>
            </w:pPr>
          </w:p>
        </w:tc>
      </w:tr>
      <w:tr w:rsidR="00E45EC4" w:rsidRPr="00E45EC4" w14:paraId="37C865CA" w14:textId="77777777" w:rsidTr="00B45121">
        <w:tc>
          <w:tcPr>
            <w:tcW w:w="3557" w:type="dxa"/>
          </w:tcPr>
          <w:p w14:paraId="0F577C2C"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Health facilities ensure young people are treated without parental consent.</w:t>
            </w:r>
            <w:r w:rsidRPr="00E45EC4">
              <w:rPr>
                <w:rStyle w:val="FootnoteReference"/>
                <w:rFonts w:ascii="Tahoma" w:hAnsi="Tahoma" w:cs="Tahoma"/>
              </w:rPr>
              <w:footnoteReference w:id="7"/>
            </w:r>
          </w:p>
        </w:tc>
        <w:tc>
          <w:tcPr>
            <w:tcW w:w="639" w:type="dxa"/>
          </w:tcPr>
          <w:p w14:paraId="2A435F2E" w14:textId="77777777" w:rsidR="00E45EC4" w:rsidRPr="00E45EC4" w:rsidRDefault="00E45EC4" w:rsidP="00E45EC4">
            <w:pPr>
              <w:ind w:left="360"/>
              <w:jc w:val="both"/>
              <w:rPr>
                <w:rFonts w:ascii="Tahoma" w:hAnsi="Tahoma" w:cs="Tahoma"/>
              </w:rPr>
            </w:pPr>
          </w:p>
        </w:tc>
        <w:tc>
          <w:tcPr>
            <w:tcW w:w="555" w:type="dxa"/>
          </w:tcPr>
          <w:p w14:paraId="75A72E37" w14:textId="77777777" w:rsidR="00E45EC4" w:rsidRPr="00E45EC4" w:rsidRDefault="00E45EC4" w:rsidP="00E45EC4">
            <w:pPr>
              <w:ind w:left="360"/>
              <w:jc w:val="both"/>
              <w:rPr>
                <w:rFonts w:ascii="Tahoma" w:hAnsi="Tahoma" w:cs="Tahoma"/>
              </w:rPr>
            </w:pPr>
          </w:p>
        </w:tc>
        <w:tc>
          <w:tcPr>
            <w:tcW w:w="4265" w:type="dxa"/>
          </w:tcPr>
          <w:p w14:paraId="29A4F143" w14:textId="77777777" w:rsidR="00E45EC4" w:rsidRPr="00E45EC4" w:rsidRDefault="00E45EC4" w:rsidP="00E45EC4">
            <w:pPr>
              <w:ind w:left="360"/>
              <w:jc w:val="both"/>
              <w:rPr>
                <w:rFonts w:ascii="Tahoma" w:hAnsi="Tahoma" w:cs="Tahoma"/>
              </w:rPr>
            </w:pPr>
          </w:p>
        </w:tc>
      </w:tr>
      <w:tr w:rsidR="00E45EC4" w:rsidRPr="00E45EC4" w14:paraId="5396CAD0" w14:textId="77777777" w:rsidTr="00B45121">
        <w:tc>
          <w:tcPr>
            <w:tcW w:w="3557" w:type="dxa"/>
          </w:tcPr>
          <w:p w14:paraId="1DF5D70B"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Health system ensures young people are treated with respect.</w:t>
            </w:r>
            <w:r w:rsidRPr="00E45EC4">
              <w:rPr>
                <w:rStyle w:val="FootnoteReference"/>
                <w:rFonts w:ascii="Tahoma" w:hAnsi="Tahoma" w:cs="Tahoma"/>
              </w:rPr>
              <w:footnoteReference w:id="8"/>
            </w:r>
          </w:p>
        </w:tc>
        <w:tc>
          <w:tcPr>
            <w:tcW w:w="639" w:type="dxa"/>
          </w:tcPr>
          <w:p w14:paraId="7B47809B" w14:textId="77777777" w:rsidR="00E45EC4" w:rsidRPr="00E45EC4" w:rsidRDefault="00E45EC4" w:rsidP="00E45EC4">
            <w:pPr>
              <w:ind w:left="360"/>
              <w:jc w:val="both"/>
              <w:rPr>
                <w:rFonts w:ascii="Tahoma" w:hAnsi="Tahoma" w:cs="Tahoma"/>
              </w:rPr>
            </w:pPr>
          </w:p>
        </w:tc>
        <w:tc>
          <w:tcPr>
            <w:tcW w:w="555" w:type="dxa"/>
          </w:tcPr>
          <w:p w14:paraId="011DC2AF" w14:textId="77777777" w:rsidR="00E45EC4" w:rsidRPr="00E45EC4" w:rsidRDefault="00E45EC4" w:rsidP="00E45EC4">
            <w:pPr>
              <w:ind w:left="360"/>
              <w:jc w:val="both"/>
              <w:rPr>
                <w:rFonts w:ascii="Tahoma" w:hAnsi="Tahoma" w:cs="Tahoma"/>
              </w:rPr>
            </w:pPr>
          </w:p>
        </w:tc>
        <w:tc>
          <w:tcPr>
            <w:tcW w:w="4265" w:type="dxa"/>
          </w:tcPr>
          <w:p w14:paraId="6DC2572A" w14:textId="77777777" w:rsidR="00E45EC4" w:rsidRPr="00E45EC4" w:rsidRDefault="00E45EC4" w:rsidP="00E45EC4">
            <w:pPr>
              <w:ind w:left="360"/>
              <w:jc w:val="both"/>
              <w:rPr>
                <w:rFonts w:ascii="Tahoma" w:hAnsi="Tahoma" w:cs="Tahoma"/>
              </w:rPr>
            </w:pPr>
          </w:p>
        </w:tc>
      </w:tr>
      <w:tr w:rsidR="00E45EC4" w:rsidRPr="00E45EC4" w14:paraId="4CDD1698" w14:textId="77777777" w:rsidTr="00B45121">
        <w:tc>
          <w:tcPr>
            <w:tcW w:w="3557" w:type="dxa"/>
          </w:tcPr>
          <w:p w14:paraId="5AEF69CC"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Health system ensures that health workers spend sufficient time with young people.</w:t>
            </w:r>
            <w:r w:rsidRPr="00E45EC4">
              <w:rPr>
                <w:rStyle w:val="FootnoteReference"/>
                <w:rFonts w:ascii="Tahoma" w:hAnsi="Tahoma" w:cs="Tahoma"/>
              </w:rPr>
              <w:footnoteReference w:id="9"/>
            </w:r>
          </w:p>
        </w:tc>
        <w:tc>
          <w:tcPr>
            <w:tcW w:w="639" w:type="dxa"/>
          </w:tcPr>
          <w:p w14:paraId="2DBAA7F4" w14:textId="77777777" w:rsidR="00E45EC4" w:rsidRPr="00E45EC4" w:rsidRDefault="00E45EC4" w:rsidP="00E45EC4">
            <w:pPr>
              <w:ind w:left="360"/>
              <w:jc w:val="both"/>
              <w:rPr>
                <w:rFonts w:ascii="Tahoma" w:hAnsi="Tahoma" w:cs="Tahoma"/>
              </w:rPr>
            </w:pPr>
          </w:p>
        </w:tc>
        <w:tc>
          <w:tcPr>
            <w:tcW w:w="555" w:type="dxa"/>
          </w:tcPr>
          <w:p w14:paraId="6CCA043E" w14:textId="77777777" w:rsidR="00E45EC4" w:rsidRPr="00E45EC4" w:rsidRDefault="00E45EC4" w:rsidP="00E45EC4">
            <w:pPr>
              <w:ind w:left="360"/>
              <w:jc w:val="both"/>
              <w:rPr>
                <w:rFonts w:ascii="Tahoma" w:hAnsi="Tahoma" w:cs="Tahoma"/>
              </w:rPr>
            </w:pPr>
          </w:p>
        </w:tc>
        <w:tc>
          <w:tcPr>
            <w:tcW w:w="4265" w:type="dxa"/>
          </w:tcPr>
          <w:p w14:paraId="1D11BF1A" w14:textId="77777777" w:rsidR="00E45EC4" w:rsidRPr="00E45EC4" w:rsidRDefault="00E45EC4" w:rsidP="00E45EC4">
            <w:pPr>
              <w:ind w:left="360"/>
              <w:jc w:val="both"/>
              <w:rPr>
                <w:rFonts w:ascii="Tahoma" w:hAnsi="Tahoma" w:cs="Tahoma"/>
              </w:rPr>
            </w:pPr>
          </w:p>
        </w:tc>
      </w:tr>
      <w:tr w:rsidR="00E45EC4" w:rsidRPr="00E45EC4" w14:paraId="238F892F" w14:textId="77777777" w:rsidTr="00B45121">
        <w:tc>
          <w:tcPr>
            <w:tcW w:w="3557" w:type="dxa"/>
          </w:tcPr>
          <w:p w14:paraId="58B8B05D"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hAnsi="Tahoma" w:cs="Tahoma"/>
              </w:rPr>
              <w:t>Health system ensures that mental health assessments are part of sexual and reproductive health services accessible to adolescents.</w:t>
            </w:r>
            <w:r w:rsidRPr="00E45EC4">
              <w:rPr>
                <w:rStyle w:val="FootnoteReference"/>
                <w:rFonts w:ascii="Tahoma" w:hAnsi="Tahoma" w:cs="Tahoma"/>
              </w:rPr>
              <w:footnoteReference w:id="10"/>
            </w:r>
          </w:p>
        </w:tc>
        <w:tc>
          <w:tcPr>
            <w:tcW w:w="639" w:type="dxa"/>
          </w:tcPr>
          <w:p w14:paraId="4052D63F" w14:textId="77777777" w:rsidR="00E45EC4" w:rsidRPr="00E45EC4" w:rsidRDefault="00E45EC4" w:rsidP="00E45EC4">
            <w:pPr>
              <w:autoSpaceDE w:val="0"/>
              <w:autoSpaceDN w:val="0"/>
              <w:adjustRightInd w:val="0"/>
              <w:ind w:left="360"/>
              <w:jc w:val="both"/>
              <w:rPr>
                <w:rFonts w:ascii="Tahoma" w:hAnsi="Tahoma" w:cs="Tahoma"/>
              </w:rPr>
            </w:pPr>
          </w:p>
        </w:tc>
        <w:tc>
          <w:tcPr>
            <w:tcW w:w="555" w:type="dxa"/>
          </w:tcPr>
          <w:p w14:paraId="44F20F65" w14:textId="77777777" w:rsidR="00E45EC4" w:rsidRPr="00E45EC4" w:rsidRDefault="00E45EC4" w:rsidP="00E45EC4">
            <w:pPr>
              <w:autoSpaceDE w:val="0"/>
              <w:autoSpaceDN w:val="0"/>
              <w:adjustRightInd w:val="0"/>
              <w:ind w:left="360"/>
              <w:jc w:val="both"/>
              <w:rPr>
                <w:rFonts w:ascii="Tahoma" w:hAnsi="Tahoma" w:cs="Tahoma"/>
              </w:rPr>
            </w:pPr>
          </w:p>
        </w:tc>
        <w:tc>
          <w:tcPr>
            <w:tcW w:w="4265" w:type="dxa"/>
          </w:tcPr>
          <w:p w14:paraId="15456DBC" w14:textId="77777777" w:rsidR="00E45EC4" w:rsidRPr="00E45EC4" w:rsidRDefault="00E45EC4" w:rsidP="00E45EC4">
            <w:pPr>
              <w:autoSpaceDE w:val="0"/>
              <w:autoSpaceDN w:val="0"/>
              <w:adjustRightInd w:val="0"/>
              <w:ind w:left="360"/>
              <w:jc w:val="both"/>
              <w:rPr>
                <w:rFonts w:ascii="Tahoma" w:hAnsi="Tahoma" w:cs="Tahoma"/>
              </w:rPr>
            </w:pPr>
          </w:p>
        </w:tc>
      </w:tr>
      <w:tr w:rsidR="00E45EC4" w:rsidRPr="00E45EC4" w14:paraId="71F248B0" w14:textId="77777777" w:rsidTr="00B45121">
        <w:tc>
          <w:tcPr>
            <w:tcW w:w="3557" w:type="dxa"/>
          </w:tcPr>
          <w:p w14:paraId="548E9947"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hAnsi="Tahoma" w:cs="Tahoma"/>
              </w:rPr>
              <w:lastRenderedPageBreak/>
              <w:t>Health system ensures that health workers make follow up visits for adolescent reproductive health and care.</w:t>
            </w:r>
            <w:r w:rsidRPr="00E45EC4">
              <w:rPr>
                <w:rStyle w:val="FootnoteReference"/>
                <w:rFonts w:ascii="Tahoma" w:hAnsi="Tahoma" w:cs="Tahoma"/>
              </w:rPr>
              <w:footnoteReference w:id="11"/>
            </w:r>
          </w:p>
        </w:tc>
        <w:tc>
          <w:tcPr>
            <w:tcW w:w="639" w:type="dxa"/>
          </w:tcPr>
          <w:p w14:paraId="7D9B2463" w14:textId="77777777" w:rsidR="00E45EC4" w:rsidRPr="00E45EC4" w:rsidRDefault="00E45EC4" w:rsidP="00E45EC4">
            <w:pPr>
              <w:autoSpaceDE w:val="0"/>
              <w:autoSpaceDN w:val="0"/>
              <w:adjustRightInd w:val="0"/>
              <w:ind w:left="360"/>
              <w:jc w:val="both"/>
              <w:rPr>
                <w:rFonts w:ascii="Tahoma" w:hAnsi="Tahoma" w:cs="Tahoma"/>
              </w:rPr>
            </w:pPr>
          </w:p>
        </w:tc>
        <w:tc>
          <w:tcPr>
            <w:tcW w:w="555" w:type="dxa"/>
          </w:tcPr>
          <w:p w14:paraId="43CFE3E0" w14:textId="77777777" w:rsidR="00E45EC4" w:rsidRPr="00E45EC4" w:rsidRDefault="00E45EC4" w:rsidP="00E45EC4">
            <w:pPr>
              <w:autoSpaceDE w:val="0"/>
              <w:autoSpaceDN w:val="0"/>
              <w:adjustRightInd w:val="0"/>
              <w:ind w:left="360"/>
              <w:jc w:val="both"/>
              <w:rPr>
                <w:rFonts w:ascii="Tahoma" w:hAnsi="Tahoma" w:cs="Tahoma"/>
              </w:rPr>
            </w:pPr>
          </w:p>
        </w:tc>
        <w:tc>
          <w:tcPr>
            <w:tcW w:w="4265" w:type="dxa"/>
          </w:tcPr>
          <w:p w14:paraId="1965D03C" w14:textId="77777777" w:rsidR="00E45EC4" w:rsidRPr="00E45EC4" w:rsidRDefault="00E45EC4" w:rsidP="00E45EC4">
            <w:pPr>
              <w:autoSpaceDE w:val="0"/>
              <w:autoSpaceDN w:val="0"/>
              <w:adjustRightInd w:val="0"/>
              <w:ind w:left="360"/>
              <w:jc w:val="both"/>
              <w:rPr>
                <w:rFonts w:ascii="Tahoma" w:hAnsi="Tahoma" w:cs="Tahoma"/>
              </w:rPr>
            </w:pPr>
          </w:p>
        </w:tc>
      </w:tr>
      <w:tr w:rsidR="00E45EC4" w:rsidRPr="00E45EC4" w14:paraId="574464A4" w14:textId="77777777" w:rsidTr="00B45121">
        <w:tc>
          <w:tcPr>
            <w:tcW w:w="3557" w:type="dxa"/>
          </w:tcPr>
          <w:p w14:paraId="76DB7F4C"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ASRHR services are responsive to the needs of adolescents and young people especially during and are provided in a non-judgmental, confidential and private environment, in times and locations that are convenient for adolescents and young people including providing disability and respectful care to persons with disabilities.</w:t>
            </w:r>
            <w:r w:rsidRPr="00E45EC4">
              <w:rPr>
                <w:rStyle w:val="FootnoteReference"/>
                <w:rFonts w:ascii="Tahoma" w:hAnsi="Tahoma" w:cs="Tahoma"/>
              </w:rPr>
              <w:footnoteReference w:id="12"/>
            </w:r>
          </w:p>
        </w:tc>
        <w:tc>
          <w:tcPr>
            <w:tcW w:w="639" w:type="dxa"/>
          </w:tcPr>
          <w:p w14:paraId="5DAF6E15" w14:textId="77777777" w:rsidR="00E45EC4" w:rsidRPr="00E45EC4" w:rsidRDefault="00E45EC4" w:rsidP="00E45EC4">
            <w:pPr>
              <w:ind w:left="360"/>
              <w:jc w:val="both"/>
              <w:rPr>
                <w:rFonts w:ascii="Tahoma" w:hAnsi="Tahoma" w:cs="Tahoma"/>
              </w:rPr>
            </w:pPr>
          </w:p>
        </w:tc>
        <w:tc>
          <w:tcPr>
            <w:tcW w:w="555" w:type="dxa"/>
          </w:tcPr>
          <w:p w14:paraId="2E1F15FD" w14:textId="77777777" w:rsidR="00E45EC4" w:rsidRPr="00E45EC4" w:rsidRDefault="00E45EC4" w:rsidP="00E45EC4">
            <w:pPr>
              <w:ind w:left="360"/>
              <w:jc w:val="both"/>
              <w:rPr>
                <w:rFonts w:ascii="Tahoma" w:hAnsi="Tahoma" w:cs="Tahoma"/>
              </w:rPr>
            </w:pPr>
          </w:p>
        </w:tc>
        <w:tc>
          <w:tcPr>
            <w:tcW w:w="4265" w:type="dxa"/>
          </w:tcPr>
          <w:p w14:paraId="799B5623" w14:textId="77777777" w:rsidR="00E45EC4" w:rsidRPr="00E45EC4" w:rsidRDefault="00E45EC4" w:rsidP="00E45EC4">
            <w:pPr>
              <w:ind w:left="360"/>
              <w:jc w:val="both"/>
              <w:rPr>
                <w:rFonts w:ascii="Tahoma" w:hAnsi="Tahoma" w:cs="Tahoma"/>
              </w:rPr>
            </w:pPr>
          </w:p>
        </w:tc>
      </w:tr>
      <w:tr w:rsidR="00E45EC4" w:rsidRPr="00E45EC4" w14:paraId="47FB2C07" w14:textId="77777777" w:rsidTr="00B45121">
        <w:tc>
          <w:tcPr>
            <w:tcW w:w="3557" w:type="dxa"/>
          </w:tcPr>
          <w:p w14:paraId="75D5BF04"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There are provisions for social protections as well as economic support for Adolescents as a pathway to reducing ASRHR risks.</w:t>
            </w:r>
            <w:r w:rsidRPr="00E45EC4">
              <w:rPr>
                <w:rStyle w:val="FootnoteReference"/>
                <w:rFonts w:ascii="Tahoma" w:hAnsi="Tahoma" w:cs="Tahoma"/>
              </w:rPr>
              <w:footnoteReference w:id="13"/>
            </w:r>
          </w:p>
        </w:tc>
        <w:tc>
          <w:tcPr>
            <w:tcW w:w="639" w:type="dxa"/>
          </w:tcPr>
          <w:p w14:paraId="240DFBAF" w14:textId="77777777" w:rsidR="00E45EC4" w:rsidRPr="00E45EC4" w:rsidRDefault="00E45EC4" w:rsidP="00E45EC4">
            <w:pPr>
              <w:ind w:left="360"/>
              <w:jc w:val="both"/>
              <w:rPr>
                <w:rFonts w:ascii="Tahoma" w:hAnsi="Tahoma" w:cs="Tahoma"/>
              </w:rPr>
            </w:pPr>
          </w:p>
        </w:tc>
        <w:tc>
          <w:tcPr>
            <w:tcW w:w="555" w:type="dxa"/>
          </w:tcPr>
          <w:p w14:paraId="477D2C89" w14:textId="77777777" w:rsidR="00E45EC4" w:rsidRPr="00E45EC4" w:rsidRDefault="00E45EC4" w:rsidP="00E45EC4">
            <w:pPr>
              <w:ind w:left="360"/>
              <w:jc w:val="both"/>
              <w:rPr>
                <w:rFonts w:ascii="Tahoma" w:hAnsi="Tahoma" w:cs="Tahoma"/>
              </w:rPr>
            </w:pPr>
          </w:p>
        </w:tc>
        <w:tc>
          <w:tcPr>
            <w:tcW w:w="4265" w:type="dxa"/>
          </w:tcPr>
          <w:p w14:paraId="282253F2" w14:textId="77777777" w:rsidR="00E45EC4" w:rsidRPr="00E45EC4" w:rsidRDefault="00E45EC4" w:rsidP="00E45EC4">
            <w:pPr>
              <w:ind w:left="360"/>
              <w:jc w:val="both"/>
              <w:rPr>
                <w:rFonts w:ascii="Tahoma" w:hAnsi="Tahoma" w:cs="Tahoma"/>
              </w:rPr>
            </w:pPr>
          </w:p>
        </w:tc>
      </w:tr>
      <w:tr w:rsidR="00E45EC4" w:rsidRPr="00E45EC4" w14:paraId="461A857D" w14:textId="77777777" w:rsidTr="00B45121">
        <w:tc>
          <w:tcPr>
            <w:tcW w:w="9016" w:type="dxa"/>
            <w:gridSpan w:val="4"/>
            <w:shd w:val="clear" w:color="auto" w:fill="BFBFBF" w:themeFill="background1" w:themeFillShade="BF"/>
          </w:tcPr>
          <w:p w14:paraId="09D4DC77" w14:textId="77777777" w:rsidR="00E45EC4" w:rsidRPr="00E45EC4" w:rsidRDefault="00E45EC4" w:rsidP="00E45EC4">
            <w:pPr>
              <w:jc w:val="both"/>
              <w:rPr>
                <w:rFonts w:ascii="Tahoma" w:eastAsia="Times New Roman" w:hAnsi="Tahoma" w:cs="Tahoma"/>
                <w:b/>
                <w:bCs/>
                <w:lang w:eastAsia="en-ZW"/>
              </w:rPr>
            </w:pPr>
            <w:r w:rsidRPr="00E45EC4">
              <w:rPr>
                <w:rFonts w:ascii="Tahoma" w:eastAsia="Times New Roman" w:hAnsi="Tahoma" w:cs="Tahoma"/>
                <w:b/>
                <w:bCs/>
                <w:lang w:eastAsia="en-ZW"/>
              </w:rPr>
              <w:t>Comprehensive Sexual Education (CSE)</w:t>
            </w:r>
            <w:r w:rsidRPr="00E45EC4">
              <w:rPr>
                <w:rStyle w:val="FootnoteReference"/>
                <w:rFonts w:ascii="Tahoma" w:eastAsia="Times New Roman" w:hAnsi="Tahoma" w:cs="Tahoma"/>
                <w:b/>
                <w:bCs/>
                <w:lang w:eastAsia="en-ZW"/>
              </w:rPr>
              <w:footnoteReference w:id="14"/>
            </w:r>
          </w:p>
        </w:tc>
      </w:tr>
      <w:tr w:rsidR="00E45EC4" w:rsidRPr="00E45EC4" w14:paraId="5681C20E" w14:textId="77777777" w:rsidTr="00B45121">
        <w:tc>
          <w:tcPr>
            <w:tcW w:w="3557" w:type="dxa"/>
          </w:tcPr>
          <w:p w14:paraId="027FF876"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There are interventions for both in and out of school adolescents to provide access to good quality, comprehensive, age-appropriate, scientifically accurate life skills-based comprehensive sexuality education (CSE), to increase contraceptive use among adolescents.</w:t>
            </w:r>
          </w:p>
        </w:tc>
        <w:tc>
          <w:tcPr>
            <w:tcW w:w="639" w:type="dxa"/>
          </w:tcPr>
          <w:p w14:paraId="026B7780" w14:textId="77777777" w:rsidR="00E45EC4" w:rsidRPr="00E45EC4" w:rsidRDefault="00E45EC4" w:rsidP="00E45EC4">
            <w:pPr>
              <w:ind w:left="360"/>
              <w:jc w:val="both"/>
              <w:rPr>
                <w:rFonts w:ascii="Tahoma" w:hAnsi="Tahoma" w:cs="Tahoma"/>
              </w:rPr>
            </w:pPr>
          </w:p>
        </w:tc>
        <w:tc>
          <w:tcPr>
            <w:tcW w:w="555" w:type="dxa"/>
          </w:tcPr>
          <w:p w14:paraId="6FD4188E" w14:textId="77777777" w:rsidR="00E45EC4" w:rsidRPr="00E45EC4" w:rsidRDefault="00E45EC4" w:rsidP="00E45EC4">
            <w:pPr>
              <w:ind w:left="360"/>
              <w:jc w:val="both"/>
              <w:rPr>
                <w:rFonts w:ascii="Tahoma" w:hAnsi="Tahoma" w:cs="Tahoma"/>
              </w:rPr>
            </w:pPr>
          </w:p>
        </w:tc>
        <w:tc>
          <w:tcPr>
            <w:tcW w:w="4265" w:type="dxa"/>
          </w:tcPr>
          <w:p w14:paraId="36BEF31F" w14:textId="77777777" w:rsidR="00E45EC4" w:rsidRPr="00E45EC4" w:rsidRDefault="00E45EC4" w:rsidP="00E45EC4">
            <w:pPr>
              <w:ind w:left="360"/>
              <w:jc w:val="both"/>
              <w:rPr>
                <w:rFonts w:ascii="Tahoma" w:hAnsi="Tahoma" w:cs="Tahoma"/>
              </w:rPr>
            </w:pPr>
          </w:p>
        </w:tc>
      </w:tr>
      <w:tr w:rsidR="00E45EC4" w:rsidRPr="00E45EC4" w14:paraId="3B155621" w14:textId="77777777" w:rsidTr="00B45121">
        <w:tc>
          <w:tcPr>
            <w:tcW w:w="3557" w:type="dxa"/>
          </w:tcPr>
          <w:p w14:paraId="4AFE6C1A"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Government and other stakeholders offer interventions that combine curriculum-based sexuality education with contraceptive promotion to adolescents, in order to reduce teenage pregnancy rates.</w:t>
            </w:r>
          </w:p>
        </w:tc>
        <w:tc>
          <w:tcPr>
            <w:tcW w:w="639" w:type="dxa"/>
          </w:tcPr>
          <w:p w14:paraId="1D85F332" w14:textId="77777777" w:rsidR="00E45EC4" w:rsidRPr="00E45EC4" w:rsidRDefault="00E45EC4" w:rsidP="00E45EC4">
            <w:pPr>
              <w:ind w:left="360"/>
              <w:jc w:val="both"/>
              <w:rPr>
                <w:rFonts w:ascii="Tahoma" w:hAnsi="Tahoma" w:cs="Tahoma"/>
              </w:rPr>
            </w:pPr>
          </w:p>
        </w:tc>
        <w:tc>
          <w:tcPr>
            <w:tcW w:w="555" w:type="dxa"/>
          </w:tcPr>
          <w:p w14:paraId="36CF7F29" w14:textId="77777777" w:rsidR="00E45EC4" w:rsidRPr="00E45EC4" w:rsidRDefault="00E45EC4" w:rsidP="00E45EC4">
            <w:pPr>
              <w:ind w:left="360"/>
              <w:jc w:val="both"/>
              <w:rPr>
                <w:rFonts w:ascii="Tahoma" w:hAnsi="Tahoma" w:cs="Tahoma"/>
              </w:rPr>
            </w:pPr>
          </w:p>
        </w:tc>
        <w:tc>
          <w:tcPr>
            <w:tcW w:w="4265" w:type="dxa"/>
          </w:tcPr>
          <w:p w14:paraId="514E11FF" w14:textId="77777777" w:rsidR="00E45EC4" w:rsidRPr="00E45EC4" w:rsidRDefault="00E45EC4" w:rsidP="00E45EC4">
            <w:pPr>
              <w:ind w:left="360"/>
              <w:jc w:val="both"/>
              <w:rPr>
                <w:rFonts w:ascii="Tahoma" w:hAnsi="Tahoma" w:cs="Tahoma"/>
              </w:rPr>
            </w:pPr>
          </w:p>
        </w:tc>
      </w:tr>
      <w:tr w:rsidR="00E45EC4" w:rsidRPr="00E45EC4" w14:paraId="7783732A" w14:textId="77777777" w:rsidTr="00B45121">
        <w:tc>
          <w:tcPr>
            <w:tcW w:w="3557" w:type="dxa"/>
          </w:tcPr>
          <w:p w14:paraId="3C95F872"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eastAsia="Times New Roman" w:hAnsi="Tahoma" w:cs="Tahoma"/>
              </w:rPr>
              <w:t>There are strategies within school settings at all levels (from ECD to universities) to ensure provision of CSE and other SRHR services in line with WHO guidelines on Covid-19.</w:t>
            </w:r>
          </w:p>
        </w:tc>
        <w:tc>
          <w:tcPr>
            <w:tcW w:w="639" w:type="dxa"/>
          </w:tcPr>
          <w:p w14:paraId="6068F9B0" w14:textId="77777777" w:rsidR="00E45EC4" w:rsidRPr="00E45EC4" w:rsidRDefault="00E45EC4" w:rsidP="005417B1">
            <w:pPr>
              <w:pStyle w:val="ListParagraph"/>
              <w:numPr>
                <w:ilvl w:val="0"/>
                <w:numId w:val="5"/>
              </w:numPr>
              <w:autoSpaceDE w:val="0"/>
              <w:autoSpaceDN w:val="0"/>
              <w:adjustRightInd w:val="0"/>
              <w:jc w:val="both"/>
              <w:rPr>
                <w:rFonts w:ascii="Tahoma" w:eastAsia="Times New Roman" w:hAnsi="Tahoma" w:cs="Tahoma"/>
              </w:rPr>
            </w:pPr>
          </w:p>
        </w:tc>
        <w:tc>
          <w:tcPr>
            <w:tcW w:w="555" w:type="dxa"/>
          </w:tcPr>
          <w:p w14:paraId="363FD1B2" w14:textId="77777777" w:rsidR="00E45EC4" w:rsidRPr="00E45EC4" w:rsidRDefault="00E45EC4" w:rsidP="005417B1">
            <w:pPr>
              <w:pStyle w:val="ListParagraph"/>
              <w:numPr>
                <w:ilvl w:val="0"/>
                <w:numId w:val="5"/>
              </w:numPr>
              <w:autoSpaceDE w:val="0"/>
              <w:autoSpaceDN w:val="0"/>
              <w:adjustRightInd w:val="0"/>
              <w:jc w:val="both"/>
              <w:rPr>
                <w:rFonts w:ascii="Tahoma" w:eastAsia="Times New Roman" w:hAnsi="Tahoma" w:cs="Tahoma"/>
              </w:rPr>
            </w:pPr>
          </w:p>
        </w:tc>
        <w:tc>
          <w:tcPr>
            <w:tcW w:w="4265" w:type="dxa"/>
          </w:tcPr>
          <w:p w14:paraId="495C5DB3" w14:textId="77777777" w:rsidR="00E45EC4" w:rsidRPr="00E45EC4" w:rsidRDefault="00E45EC4" w:rsidP="005417B1">
            <w:pPr>
              <w:pStyle w:val="ListParagraph"/>
              <w:numPr>
                <w:ilvl w:val="0"/>
                <w:numId w:val="5"/>
              </w:numPr>
              <w:autoSpaceDE w:val="0"/>
              <w:autoSpaceDN w:val="0"/>
              <w:adjustRightInd w:val="0"/>
              <w:jc w:val="both"/>
              <w:rPr>
                <w:rFonts w:ascii="Tahoma" w:eastAsia="Times New Roman" w:hAnsi="Tahoma" w:cs="Tahoma"/>
              </w:rPr>
            </w:pPr>
          </w:p>
        </w:tc>
      </w:tr>
      <w:tr w:rsidR="00E45EC4" w:rsidRPr="00E45EC4" w14:paraId="5FC0131E" w14:textId="77777777" w:rsidTr="00B45121">
        <w:tc>
          <w:tcPr>
            <w:tcW w:w="3557" w:type="dxa"/>
          </w:tcPr>
          <w:p w14:paraId="08E61BFB"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eastAsia="Times New Roman" w:hAnsi="Tahoma" w:cs="Tahoma"/>
              </w:rPr>
              <w:t xml:space="preserve">There are </w:t>
            </w:r>
            <w:r w:rsidRPr="00E45EC4">
              <w:rPr>
                <w:rFonts w:ascii="Tahoma" w:hAnsi="Tahoma" w:cs="Tahoma"/>
              </w:rPr>
              <w:t>strategies in place to build community support for CSE and to identify and address factors at regional, national, community and individual levels that could contribute to resistance or backlash or stall CSE implementation progress.</w:t>
            </w:r>
          </w:p>
        </w:tc>
        <w:tc>
          <w:tcPr>
            <w:tcW w:w="639" w:type="dxa"/>
          </w:tcPr>
          <w:p w14:paraId="7ECC1A43" w14:textId="77777777" w:rsidR="00E45EC4" w:rsidRPr="005D3DDE" w:rsidRDefault="00E45EC4" w:rsidP="005D3DDE">
            <w:pPr>
              <w:autoSpaceDE w:val="0"/>
              <w:autoSpaceDN w:val="0"/>
              <w:adjustRightInd w:val="0"/>
              <w:ind w:left="360"/>
              <w:jc w:val="both"/>
              <w:rPr>
                <w:rFonts w:ascii="Tahoma" w:eastAsia="Times New Roman" w:hAnsi="Tahoma" w:cs="Tahoma"/>
              </w:rPr>
            </w:pPr>
          </w:p>
        </w:tc>
        <w:tc>
          <w:tcPr>
            <w:tcW w:w="555" w:type="dxa"/>
          </w:tcPr>
          <w:p w14:paraId="77187160" w14:textId="77777777" w:rsidR="00E45EC4" w:rsidRPr="005D3DDE" w:rsidRDefault="00E45EC4" w:rsidP="005D3DDE">
            <w:pPr>
              <w:autoSpaceDE w:val="0"/>
              <w:autoSpaceDN w:val="0"/>
              <w:adjustRightInd w:val="0"/>
              <w:ind w:left="360"/>
              <w:jc w:val="both"/>
              <w:rPr>
                <w:rFonts w:ascii="Tahoma" w:eastAsia="Times New Roman" w:hAnsi="Tahoma" w:cs="Tahoma"/>
              </w:rPr>
            </w:pPr>
          </w:p>
        </w:tc>
        <w:tc>
          <w:tcPr>
            <w:tcW w:w="4265" w:type="dxa"/>
          </w:tcPr>
          <w:p w14:paraId="7FC26595" w14:textId="77777777" w:rsidR="00E45EC4" w:rsidRPr="005D3DDE" w:rsidRDefault="00E45EC4" w:rsidP="005D3DDE">
            <w:pPr>
              <w:autoSpaceDE w:val="0"/>
              <w:autoSpaceDN w:val="0"/>
              <w:adjustRightInd w:val="0"/>
              <w:ind w:left="360"/>
              <w:jc w:val="both"/>
              <w:rPr>
                <w:rFonts w:ascii="Tahoma" w:eastAsia="Times New Roman" w:hAnsi="Tahoma" w:cs="Tahoma"/>
              </w:rPr>
            </w:pPr>
          </w:p>
        </w:tc>
      </w:tr>
      <w:tr w:rsidR="00E45EC4" w:rsidRPr="00E45EC4" w14:paraId="4AF23EDA" w14:textId="77777777" w:rsidTr="00B45121">
        <w:tc>
          <w:tcPr>
            <w:tcW w:w="3557" w:type="dxa"/>
            <w:shd w:val="clear" w:color="auto" w:fill="BFBFBF" w:themeFill="background1" w:themeFillShade="BF"/>
          </w:tcPr>
          <w:p w14:paraId="66AA47D4" w14:textId="77777777" w:rsidR="00E45EC4" w:rsidRPr="005D3DDE" w:rsidRDefault="00E45EC4" w:rsidP="005D3DDE">
            <w:pPr>
              <w:jc w:val="both"/>
              <w:rPr>
                <w:rFonts w:ascii="Tahoma" w:eastAsia="Times New Roman" w:hAnsi="Tahoma" w:cs="Tahoma"/>
                <w:b/>
                <w:bCs/>
                <w:lang w:eastAsia="en-ZW"/>
              </w:rPr>
            </w:pPr>
            <w:r w:rsidRPr="005D3DDE">
              <w:rPr>
                <w:rFonts w:ascii="Tahoma" w:eastAsia="Times New Roman" w:hAnsi="Tahoma" w:cs="Tahoma"/>
                <w:b/>
                <w:bCs/>
                <w:lang w:eastAsia="en-ZW"/>
              </w:rPr>
              <w:t>Contraception</w:t>
            </w:r>
            <w:r w:rsidRPr="00E45EC4">
              <w:rPr>
                <w:rStyle w:val="FootnoteReference"/>
                <w:rFonts w:ascii="Tahoma" w:eastAsia="Times New Roman" w:hAnsi="Tahoma" w:cs="Tahoma"/>
                <w:b/>
                <w:bCs/>
                <w:lang w:eastAsia="en-ZW"/>
              </w:rPr>
              <w:footnoteReference w:id="15"/>
            </w:r>
          </w:p>
        </w:tc>
        <w:tc>
          <w:tcPr>
            <w:tcW w:w="639" w:type="dxa"/>
            <w:shd w:val="clear" w:color="auto" w:fill="BFBFBF" w:themeFill="background1" w:themeFillShade="BF"/>
          </w:tcPr>
          <w:p w14:paraId="2D92795E" w14:textId="77777777" w:rsidR="00E45EC4" w:rsidRPr="00E45EC4" w:rsidRDefault="00E45EC4" w:rsidP="005417B1">
            <w:pPr>
              <w:jc w:val="both"/>
              <w:rPr>
                <w:rFonts w:ascii="Tahoma" w:eastAsia="Times New Roman" w:hAnsi="Tahoma" w:cs="Tahoma"/>
                <w:b/>
                <w:bCs/>
                <w:lang w:eastAsia="en-ZW"/>
              </w:rPr>
            </w:pPr>
          </w:p>
        </w:tc>
        <w:tc>
          <w:tcPr>
            <w:tcW w:w="555" w:type="dxa"/>
            <w:shd w:val="clear" w:color="auto" w:fill="BFBFBF" w:themeFill="background1" w:themeFillShade="BF"/>
          </w:tcPr>
          <w:p w14:paraId="6746CD75" w14:textId="77777777" w:rsidR="00E45EC4" w:rsidRPr="00E45EC4" w:rsidRDefault="00E45EC4" w:rsidP="005417B1">
            <w:pPr>
              <w:jc w:val="both"/>
              <w:rPr>
                <w:rFonts w:ascii="Tahoma" w:eastAsia="Times New Roman" w:hAnsi="Tahoma" w:cs="Tahoma"/>
                <w:b/>
                <w:bCs/>
                <w:lang w:eastAsia="en-ZW"/>
              </w:rPr>
            </w:pPr>
          </w:p>
        </w:tc>
        <w:tc>
          <w:tcPr>
            <w:tcW w:w="4265" w:type="dxa"/>
            <w:shd w:val="clear" w:color="auto" w:fill="BFBFBF" w:themeFill="background1" w:themeFillShade="BF"/>
          </w:tcPr>
          <w:p w14:paraId="2244F831" w14:textId="77777777" w:rsidR="00E45EC4" w:rsidRPr="00E45EC4" w:rsidRDefault="00E45EC4" w:rsidP="005417B1">
            <w:pPr>
              <w:jc w:val="both"/>
              <w:rPr>
                <w:rFonts w:ascii="Tahoma" w:eastAsia="Times New Roman" w:hAnsi="Tahoma" w:cs="Tahoma"/>
                <w:b/>
                <w:bCs/>
                <w:lang w:eastAsia="en-ZW"/>
              </w:rPr>
            </w:pPr>
          </w:p>
        </w:tc>
      </w:tr>
      <w:tr w:rsidR="00E45EC4" w:rsidRPr="00E45EC4" w14:paraId="25B0EF4F" w14:textId="77777777" w:rsidTr="00B45121">
        <w:tc>
          <w:tcPr>
            <w:tcW w:w="3557" w:type="dxa"/>
          </w:tcPr>
          <w:p w14:paraId="4A61FCDF" w14:textId="77777777" w:rsidR="00E45EC4" w:rsidRPr="00E45EC4" w:rsidRDefault="00E45EC4" w:rsidP="00E45EC4">
            <w:pPr>
              <w:pStyle w:val="ListParagraph"/>
              <w:numPr>
                <w:ilvl w:val="0"/>
                <w:numId w:val="28"/>
              </w:numPr>
              <w:autoSpaceDE w:val="0"/>
              <w:autoSpaceDN w:val="0"/>
              <w:adjustRightInd w:val="0"/>
              <w:jc w:val="both"/>
              <w:rPr>
                <w:rFonts w:ascii="Tahoma" w:eastAsia="Times New Roman" w:hAnsi="Tahoma" w:cs="Tahoma"/>
                <w:lang w:eastAsia="en-ZW"/>
              </w:rPr>
            </w:pPr>
            <w:r w:rsidRPr="00E45EC4">
              <w:rPr>
                <w:rFonts w:ascii="Tahoma" w:eastAsia="Times New Roman" w:hAnsi="Tahoma" w:cs="Tahoma"/>
                <w:lang w:eastAsia="en-ZW"/>
              </w:rPr>
              <w:t>There are strategies that are aimed at decreasing the unmet need for contraception among adolescents</w:t>
            </w:r>
            <w:r w:rsidRPr="00E45EC4">
              <w:rPr>
                <w:rFonts w:ascii="Tahoma" w:hAnsi="Tahoma" w:cs="Tahoma"/>
              </w:rPr>
              <w:t xml:space="preserve"> including formulating laws and policies to increase adolescent access to contraceptive information and services, including emergency contraceptives.</w:t>
            </w:r>
          </w:p>
        </w:tc>
        <w:tc>
          <w:tcPr>
            <w:tcW w:w="639" w:type="dxa"/>
          </w:tcPr>
          <w:p w14:paraId="2C2EE263" w14:textId="77777777" w:rsidR="00E45EC4" w:rsidRPr="005D3DDE" w:rsidRDefault="00E45EC4" w:rsidP="005D3DDE">
            <w:pPr>
              <w:autoSpaceDE w:val="0"/>
              <w:autoSpaceDN w:val="0"/>
              <w:adjustRightInd w:val="0"/>
              <w:ind w:left="360"/>
              <w:jc w:val="both"/>
              <w:rPr>
                <w:rFonts w:ascii="Tahoma" w:eastAsia="Times New Roman" w:hAnsi="Tahoma" w:cs="Tahoma"/>
                <w:lang w:eastAsia="en-ZW"/>
              </w:rPr>
            </w:pPr>
          </w:p>
        </w:tc>
        <w:tc>
          <w:tcPr>
            <w:tcW w:w="555" w:type="dxa"/>
          </w:tcPr>
          <w:p w14:paraId="1DAFAE9B" w14:textId="77777777" w:rsidR="00E45EC4" w:rsidRPr="005D3DDE" w:rsidRDefault="00E45EC4" w:rsidP="005D3DDE">
            <w:pPr>
              <w:autoSpaceDE w:val="0"/>
              <w:autoSpaceDN w:val="0"/>
              <w:adjustRightInd w:val="0"/>
              <w:ind w:left="360"/>
              <w:jc w:val="both"/>
              <w:rPr>
                <w:rFonts w:ascii="Tahoma" w:eastAsia="Times New Roman" w:hAnsi="Tahoma" w:cs="Tahoma"/>
                <w:lang w:eastAsia="en-ZW"/>
              </w:rPr>
            </w:pPr>
          </w:p>
        </w:tc>
        <w:tc>
          <w:tcPr>
            <w:tcW w:w="4265" w:type="dxa"/>
          </w:tcPr>
          <w:p w14:paraId="77CA4473" w14:textId="77777777" w:rsidR="00E45EC4" w:rsidRPr="005D3DDE" w:rsidRDefault="00E45EC4" w:rsidP="005D3DDE">
            <w:pPr>
              <w:autoSpaceDE w:val="0"/>
              <w:autoSpaceDN w:val="0"/>
              <w:adjustRightInd w:val="0"/>
              <w:ind w:left="360"/>
              <w:jc w:val="both"/>
              <w:rPr>
                <w:rFonts w:ascii="Tahoma" w:eastAsia="Times New Roman" w:hAnsi="Tahoma" w:cs="Tahoma"/>
                <w:lang w:eastAsia="en-ZW"/>
              </w:rPr>
            </w:pPr>
          </w:p>
        </w:tc>
      </w:tr>
      <w:tr w:rsidR="00E45EC4" w:rsidRPr="00E45EC4" w14:paraId="0BA9C8F6" w14:textId="77777777" w:rsidTr="00B45121">
        <w:tc>
          <w:tcPr>
            <w:tcW w:w="3557" w:type="dxa"/>
          </w:tcPr>
          <w:p w14:paraId="0FD9632C" w14:textId="77777777" w:rsidR="00E45EC4" w:rsidRPr="00E45EC4" w:rsidRDefault="00E45EC4" w:rsidP="00E45EC4">
            <w:pPr>
              <w:pStyle w:val="ListParagraph"/>
              <w:numPr>
                <w:ilvl w:val="0"/>
                <w:numId w:val="28"/>
              </w:numPr>
              <w:jc w:val="both"/>
              <w:rPr>
                <w:rFonts w:ascii="Tahoma" w:eastAsia="Times New Roman" w:hAnsi="Tahoma" w:cs="Tahoma"/>
                <w:lang w:eastAsia="en-ZW"/>
              </w:rPr>
            </w:pPr>
            <w:r w:rsidRPr="00E45EC4">
              <w:rPr>
                <w:rFonts w:ascii="Tahoma" w:eastAsia="Times New Roman" w:hAnsi="Tahoma" w:cs="Tahoma"/>
                <w:lang w:eastAsia="en-ZW"/>
              </w:rPr>
              <w:t>There is access to a mix of contraceptive methods for and adolescents with special provisions in place for increased access during Covid-19 pandemic period.</w:t>
            </w:r>
          </w:p>
        </w:tc>
        <w:tc>
          <w:tcPr>
            <w:tcW w:w="639" w:type="dxa"/>
          </w:tcPr>
          <w:p w14:paraId="21BE4EAD" w14:textId="77777777" w:rsidR="00E45EC4" w:rsidRPr="005D3DDE" w:rsidRDefault="00E45EC4" w:rsidP="005D3DDE">
            <w:pPr>
              <w:ind w:left="360"/>
              <w:jc w:val="both"/>
              <w:rPr>
                <w:rFonts w:ascii="Tahoma" w:eastAsia="Times New Roman" w:hAnsi="Tahoma" w:cs="Tahoma"/>
                <w:lang w:eastAsia="en-ZW"/>
              </w:rPr>
            </w:pPr>
          </w:p>
        </w:tc>
        <w:tc>
          <w:tcPr>
            <w:tcW w:w="555" w:type="dxa"/>
          </w:tcPr>
          <w:p w14:paraId="1CDD0576" w14:textId="77777777" w:rsidR="00E45EC4" w:rsidRPr="005D3DDE" w:rsidRDefault="00E45EC4" w:rsidP="005D3DDE">
            <w:pPr>
              <w:ind w:left="360"/>
              <w:jc w:val="both"/>
              <w:rPr>
                <w:rFonts w:ascii="Tahoma" w:eastAsia="Times New Roman" w:hAnsi="Tahoma" w:cs="Tahoma"/>
                <w:lang w:eastAsia="en-ZW"/>
              </w:rPr>
            </w:pPr>
          </w:p>
        </w:tc>
        <w:tc>
          <w:tcPr>
            <w:tcW w:w="4265" w:type="dxa"/>
          </w:tcPr>
          <w:p w14:paraId="662745B3" w14:textId="77777777" w:rsidR="00E45EC4" w:rsidRPr="005D3DDE" w:rsidRDefault="00E45EC4" w:rsidP="005D3DDE">
            <w:pPr>
              <w:ind w:left="360"/>
              <w:jc w:val="both"/>
              <w:rPr>
                <w:rFonts w:ascii="Tahoma" w:eastAsia="Times New Roman" w:hAnsi="Tahoma" w:cs="Tahoma"/>
                <w:lang w:eastAsia="en-ZW"/>
              </w:rPr>
            </w:pPr>
          </w:p>
        </w:tc>
      </w:tr>
      <w:tr w:rsidR="00E45EC4" w:rsidRPr="00E45EC4" w14:paraId="16F271C2" w14:textId="77777777" w:rsidTr="00B45121">
        <w:tc>
          <w:tcPr>
            <w:tcW w:w="3557" w:type="dxa"/>
          </w:tcPr>
          <w:p w14:paraId="0B8F2C2F" w14:textId="77777777" w:rsidR="00E45EC4" w:rsidRPr="00E45EC4" w:rsidRDefault="00E45EC4" w:rsidP="00E45EC4">
            <w:pPr>
              <w:pStyle w:val="ListParagraph"/>
              <w:numPr>
                <w:ilvl w:val="0"/>
                <w:numId w:val="28"/>
              </w:numPr>
              <w:autoSpaceDE w:val="0"/>
              <w:autoSpaceDN w:val="0"/>
              <w:adjustRightInd w:val="0"/>
              <w:jc w:val="both"/>
              <w:rPr>
                <w:rFonts w:ascii="Tahoma" w:eastAsia="Times New Roman" w:hAnsi="Tahoma" w:cs="Tahoma"/>
                <w:lang w:eastAsia="en-ZW"/>
              </w:rPr>
            </w:pPr>
            <w:r w:rsidRPr="00E45EC4">
              <w:rPr>
                <w:rFonts w:ascii="Tahoma" w:eastAsia="Times New Roman" w:hAnsi="Tahoma" w:cs="Tahoma"/>
              </w:rPr>
              <w:t xml:space="preserve">There is provision for tailored and age-appropriate family planning information, counselling and contraceptive services or referrals to adolescent-friendly service providers. </w:t>
            </w:r>
          </w:p>
        </w:tc>
        <w:tc>
          <w:tcPr>
            <w:tcW w:w="639" w:type="dxa"/>
          </w:tcPr>
          <w:p w14:paraId="0E9EBE00" w14:textId="77777777" w:rsidR="00E45EC4" w:rsidRPr="005D3DDE" w:rsidRDefault="00E45EC4" w:rsidP="005D3DDE">
            <w:pPr>
              <w:autoSpaceDE w:val="0"/>
              <w:autoSpaceDN w:val="0"/>
              <w:adjustRightInd w:val="0"/>
              <w:ind w:left="360"/>
              <w:jc w:val="both"/>
              <w:rPr>
                <w:rFonts w:ascii="Tahoma" w:eastAsia="Times New Roman" w:hAnsi="Tahoma" w:cs="Tahoma"/>
              </w:rPr>
            </w:pPr>
          </w:p>
        </w:tc>
        <w:tc>
          <w:tcPr>
            <w:tcW w:w="555" w:type="dxa"/>
          </w:tcPr>
          <w:p w14:paraId="7AEBBEF1" w14:textId="77777777" w:rsidR="00E45EC4" w:rsidRPr="005D3DDE" w:rsidRDefault="00E45EC4" w:rsidP="005D3DDE">
            <w:pPr>
              <w:autoSpaceDE w:val="0"/>
              <w:autoSpaceDN w:val="0"/>
              <w:adjustRightInd w:val="0"/>
              <w:ind w:left="360"/>
              <w:jc w:val="both"/>
              <w:rPr>
                <w:rFonts w:ascii="Tahoma" w:eastAsia="Times New Roman" w:hAnsi="Tahoma" w:cs="Tahoma"/>
              </w:rPr>
            </w:pPr>
          </w:p>
        </w:tc>
        <w:tc>
          <w:tcPr>
            <w:tcW w:w="4265" w:type="dxa"/>
          </w:tcPr>
          <w:p w14:paraId="4109258D" w14:textId="77777777" w:rsidR="00E45EC4" w:rsidRPr="005D3DDE" w:rsidRDefault="00E45EC4" w:rsidP="005D3DDE">
            <w:pPr>
              <w:autoSpaceDE w:val="0"/>
              <w:autoSpaceDN w:val="0"/>
              <w:adjustRightInd w:val="0"/>
              <w:ind w:left="360"/>
              <w:jc w:val="both"/>
              <w:rPr>
                <w:rFonts w:ascii="Tahoma" w:eastAsia="Times New Roman" w:hAnsi="Tahoma" w:cs="Tahoma"/>
              </w:rPr>
            </w:pPr>
          </w:p>
        </w:tc>
      </w:tr>
      <w:tr w:rsidR="00E45EC4" w:rsidRPr="00E45EC4" w14:paraId="12A81224" w14:textId="77777777" w:rsidTr="00B45121">
        <w:tc>
          <w:tcPr>
            <w:tcW w:w="3557" w:type="dxa"/>
          </w:tcPr>
          <w:p w14:paraId="6E02E9A7" w14:textId="77777777" w:rsidR="00E45EC4" w:rsidRPr="00E45EC4" w:rsidRDefault="00E45EC4" w:rsidP="00E45EC4">
            <w:pPr>
              <w:pStyle w:val="ListParagraph"/>
              <w:numPr>
                <w:ilvl w:val="0"/>
                <w:numId w:val="28"/>
              </w:numPr>
              <w:autoSpaceDE w:val="0"/>
              <w:autoSpaceDN w:val="0"/>
              <w:adjustRightInd w:val="0"/>
              <w:jc w:val="both"/>
              <w:rPr>
                <w:rFonts w:ascii="Tahoma" w:eastAsia="Times New Roman" w:hAnsi="Tahoma" w:cs="Tahoma"/>
                <w:lang w:eastAsia="en-ZW"/>
              </w:rPr>
            </w:pPr>
            <w:r w:rsidRPr="00E45EC4">
              <w:rPr>
                <w:rFonts w:ascii="Tahoma" w:eastAsia="Times New Roman" w:hAnsi="Tahoma" w:cs="Tahoma"/>
              </w:rPr>
              <w:t xml:space="preserve">Health service delivery ensures that the adolescent’s confidentiality is respected and </w:t>
            </w:r>
            <w:r w:rsidRPr="00E45EC4">
              <w:rPr>
                <w:rFonts w:ascii="Tahoma" w:hAnsi="Tahoma" w:cs="Tahoma"/>
              </w:rPr>
              <w:t>facilitates without parental consent their access to and use of contraceptive information and services.</w:t>
            </w:r>
          </w:p>
        </w:tc>
        <w:tc>
          <w:tcPr>
            <w:tcW w:w="639" w:type="dxa"/>
          </w:tcPr>
          <w:p w14:paraId="00CAA522" w14:textId="77777777" w:rsidR="00E45EC4" w:rsidRPr="005D3DDE" w:rsidRDefault="00E45EC4" w:rsidP="005D3DDE">
            <w:pPr>
              <w:autoSpaceDE w:val="0"/>
              <w:autoSpaceDN w:val="0"/>
              <w:adjustRightInd w:val="0"/>
              <w:ind w:left="360"/>
              <w:jc w:val="both"/>
              <w:rPr>
                <w:rFonts w:ascii="Tahoma" w:eastAsia="Times New Roman" w:hAnsi="Tahoma" w:cs="Tahoma"/>
              </w:rPr>
            </w:pPr>
          </w:p>
        </w:tc>
        <w:tc>
          <w:tcPr>
            <w:tcW w:w="555" w:type="dxa"/>
          </w:tcPr>
          <w:p w14:paraId="792DA765" w14:textId="77777777" w:rsidR="00E45EC4" w:rsidRPr="005D3DDE" w:rsidRDefault="00E45EC4" w:rsidP="005D3DDE">
            <w:pPr>
              <w:autoSpaceDE w:val="0"/>
              <w:autoSpaceDN w:val="0"/>
              <w:adjustRightInd w:val="0"/>
              <w:ind w:left="360"/>
              <w:jc w:val="both"/>
              <w:rPr>
                <w:rFonts w:ascii="Tahoma" w:eastAsia="Times New Roman" w:hAnsi="Tahoma" w:cs="Tahoma"/>
              </w:rPr>
            </w:pPr>
          </w:p>
        </w:tc>
        <w:tc>
          <w:tcPr>
            <w:tcW w:w="4265" w:type="dxa"/>
          </w:tcPr>
          <w:p w14:paraId="677BC7AC" w14:textId="77777777" w:rsidR="00E45EC4" w:rsidRPr="005D3DDE" w:rsidRDefault="00E45EC4" w:rsidP="005D3DDE">
            <w:pPr>
              <w:autoSpaceDE w:val="0"/>
              <w:autoSpaceDN w:val="0"/>
              <w:adjustRightInd w:val="0"/>
              <w:ind w:left="360"/>
              <w:jc w:val="both"/>
              <w:rPr>
                <w:rFonts w:ascii="Tahoma" w:eastAsia="Times New Roman" w:hAnsi="Tahoma" w:cs="Tahoma"/>
              </w:rPr>
            </w:pPr>
          </w:p>
        </w:tc>
      </w:tr>
      <w:tr w:rsidR="00E45EC4" w:rsidRPr="00E45EC4" w14:paraId="77F72661" w14:textId="77777777" w:rsidTr="00B45121">
        <w:tc>
          <w:tcPr>
            <w:tcW w:w="3557" w:type="dxa"/>
          </w:tcPr>
          <w:p w14:paraId="54CC9DD5"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hAnsi="Tahoma" w:cs="Tahoma"/>
              </w:rPr>
              <w:t>There are interventions to reduce the financial cost of contraceptives to adolescents.</w:t>
            </w:r>
          </w:p>
        </w:tc>
        <w:tc>
          <w:tcPr>
            <w:tcW w:w="639" w:type="dxa"/>
          </w:tcPr>
          <w:p w14:paraId="48CFDB68" w14:textId="77777777" w:rsidR="00E45EC4" w:rsidRPr="005D3DDE" w:rsidRDefault="00E45EC4" w:rsidP="005D3DDE">
            <w:pPr>
              <w:autoSpaceDE w:val="0"/>
              <w:autoSpaceDN w:val="0"/>
              <w:adjustRightInd w:val="0"/>
              <w:ind w:left="360"/>
              <w:jc w:val="both"/>
              <w:rPr>
                <w:rFonts w:ascii="Tahoma" w:hAnsi="Tahoma" w:cs="Tahoma"/>
              </w:rPr>
            </w:pPr>
          </w:p>
        </w:tc>
        <w:tc>
          <w:tcPr>
            <w:tcW w:w="555" w:type="dxa"/>
          </w:tcPr>
          <w:p w14:paraId="6920F541" w14:textId="77777777" w:rsidR="00E45EC4" w:rsidRPr="005D3DDE" w:rsidRDefault="00E45EC4" w:rsidP="005D3DDE">
            <w:pPr>
              <w:autoSpaceDE w:val="0"/>
              <w:autoSpaceDN w:val="0"/>
              <w:adjustRightInd w:val="0"/>
              <w:ind w:left="360"/>
              <w:jc w:val="both"/>
              <w:rPr>
                <w:rFonts w:ascii="Tahoma" w:hAnsi="Tahoma" w:cs="Tahoma"/>
              </w:rPr>
            </w:pPr>
          </w:p>
        </w:tc>
        <w:tc>
          <w:tcPr>
            <w:tcW w:w="4265" w:type="dxa"/>
          </w:tcPr>
          <w:p w14:paraId="306D9B9A" w14:textId="77777777" w:rsidR="00E45EC4" w:rsidRPr="005D3DDE" w:rsidRDefault="00E45EC4" w:rsidP="005D3DDE">
            <w:pPr>
              <w:autoSpaceDE w:val="0"/>
              <w:autoSpaceDN w:val="0"/>
              <w:adjustRightInd w:val="0"/>
              <w:ind w:left="360"/>
              <w:jc w:val="both"/>
              <w:rPr>
                <w:rFonts w:ascii="Tahoma" w:hAnsi="Tahoma" w:cs="Tahoma"/>
              </w:rPr>
            </w:pPr>
          </w:p>
        </w:tc>
      </w:tr>
      <w:tr w:rsidR="00E45EC4" w:rsidRPr="00E45EC4" w14:paraId="4B5D0244" w14:textId="77777777" w:rsidTr="00B45121">
        <w:tc>
          <w:tcPr>
            <w:tcW w:w="3557" w:type="dxa"/>
            <w:shd w:val="clear" w:color="auto" w:fill="BFBFBF" w:themeFill="background1" w:themeFillShade="BF"/>
          </w:tcPr>
          <w:p w14:paraId="5F88435C" w14:textId="77777777" w:rsidR="00E45EC4" w:rsidRPr="005D3DDE" w:rsidRDefault="00E45EC4" w:rsidP="005D3DDE">
            <w:pPr>
              <w:autoSpaceDE w:val="0"/>
              <w:autoSpaceDN w:val="0"/>
              <w:adjustRightInd w:val="0"/>
              <w:jc w:val="both"/>
              <w:rPr>
                <w:rFonts w:ascii="Tahoma" w:hAnsi="Tahoma" w:cs="Tahoma"/>
                <w:b/>
              </w:rPr>
            </w:pPr>
            <w:r w:rsidRPr="005D3DDE">
              <w:rPr>
                <w:rFonts w:ascii="Tahoma" w:hAnsi="Tahoma" w:cs="Tahoma"/>
                <w:b/>
              </w:rPr>
              <w:t>Teenage Pregnancy</w:t>
            </w:r>
          </w:p>
        </w:tc>
        <w:tc>
          <w:tcPr>
            <w:tcW w:w="639" w:type="dxa"/>
            <w:shd w:val="clear" w:color="auto" w:fill="BFBFBF" w:themeFill="background1" w:themeFillShade="BF"/>
          </w:tcPr>
          <w:p w14:paraId="098CFE76" w14:textId="77777777" w:rsidR="00E45EC4" w:rsidRPr="00E45EC4" w:rsidRDefault="00E45EC4" w:rsidP="005417B1">
            <w:pPr>
              <w:autoSpaceDE w:val="0"/>
              <w:autoSpaceDN w:val="0"/>
              <w:adjustRightInd w:val="0"/>
              <w:jc w:val="both"/>
              <w:rPr>
                <w:rFonts w:ascii="Tahoma" w:hAnsi="Tahoma" w:cs="Tahoma"/>
                <w:b/>
              </w:rPr>
            </w:pPr>
          </w:p>
        </w:tc>
        <w:tc>
          <w:tcPr>
            <w:tcW w:w="555" w:type="dxa"/>
            <w:shd w:val="clear" w:color="auto" w:fill="BFBFBF" w:themeFill="background1" w:themeFillShade="BF"/>
          </w:tcPr>
          <w:p w14:paraId="010AA6C6" w14:textId="77777777" w:rsidR="00E45EC4" w:rsidRPr="00E45EC4" w:rsidRDefault="00E45EC4" w:rsidP="005417B1">
            <w:pPr>
              <w:autoSpaceDE w:val="0"/>
              <w:autoSpaceDN w:val="0"/>
              <w:adjustRightInd w:val="0"/>
              <w:jc w:val="both"/>
              <w:rPr>
                <w:rFonts w:ascii="Tahoma" w:hAnsi="Tahoma" w:cs="Tahoma"/>
                <w:b/>
              </w:rPr>
            </w:pPr>
          </w:p>
        </w:tc>
        <w:tc>
          <w:tcPr>
            <w:tcW w:w="4265" w:type="dxa"/>
            <w:shd w:val="clear" w:color="auto" w:fill="BFBFBF" w:themeFill="background1" w:themeFillShade="BF"/>
          </w:tcPr>
          <w:p w14:paraId="10ACAC5C" w14:textId="77777777" w:rsidR="00E45EC4" w:rsidRPr="00E45EC4" w:rsidRDefault="00E45EC4" w:rsidP="005417B1">
            <w:pPr>
              <w:autoSpaceDE w:val="0"/>
              <w:autoSpaceDN w:val="0"/>
              <w:adjustRightInd w:val="0"/>
              <w:jc w:val="both"/>
              <w:rPr>
                <w:rFonts w:ascii="Tahoma" w:hAnsi="Tahoma" w:cs="Tahoma"/>
                <w:b/>
              </w:rPr>
            </w:pPr>
          </w:p>
        </w:tc>
      </w:tr>
      <w:tr w:rsidR="00E45EC4" w:rsidRPr="00E45EC4" w14:paraId="1091407C" w14:textId="77777777" w:rsidTr="00B45121">
        <w:tc>
          <w:tcPr>
            <w:tcW w:w="3557" w:type="dxa"/>
          </w:tcPr>
          <w:p w14:paraId="4A2CBC90"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 xml:space="preserve">There are strategies in place to reduce the </w:t>
            </w:r>
            <w:hyperlink r:id="rId14" w:anchor="RANGE!_ftn4" w:history="1">
              <w:r w:rsidRPr="00E45EC4">
                <w:rPr>
                  <w:rFonts w:ascii="Tahoma" w:eastAsia="Times New Roman" w:hAnsi="Tahoma" w:cs="Tahoma"/>
                  <w:lang w:eastAsia="en-ZW"/>
                </w:rPr>
                <w:t>adolescent fertility rate (births per 1000 women, 15–19 years of age)</w:t>
              </w:r>
              <w:r w:rsidRPr="00E45EC4">
                <w:rPr>
                  <w:rStyle w:val="FootnoteReference"/>
                  <w:rFonts w:ascii="Tahoma" w:eastAsia="Times New Roman" w:hAnsi="Tahoma" w:cs="Tahoma"/>
                  <w:lang w:eastAsia="en-ZW"/>
                </w:rPr>
                <w:footnoteReference w:id="16"/>
              </w:r>
              <w:r w:rsidRPr="00E45EC4">
                <w:rPr>
                  <w:rFonts w:ascii="Tahoma" w:eastAsia="Times New Roman" w:hAnsi="Tahoma" w:cs="Tahoma"/>
                  <w:lang w:eastAsia="en-ZW"/>
                </w:rPr>
                <w:t>.</w:t>
              </w:r>
            </w:hyperlink>
          </w:p>
        </w:tc>
        <w:tc>
          <w:tcPr>
            <w:tcW w:w="639" w:type="dxa"/>
          </w:tcPr>
          <w:p w14:paraId="314AB7FB" w14:textId="77777777" w:rsidR="00E45EC4" w:rsidRPr="005D3DDE" w:rsidRDefault="00E45EC4" w:rsidP="005D3DDE">
            <w:pPr>
              <w:ind w:left="360"/>
              <w:jc w:val="both"/>
              <w:rPr>
                <w:rFonts w:ascii="Tahoma" w:hAnsi="Tahoma" w:cs="Tahoma"/>
              </w:rPr>
            </w:pPr>
          </w:p>
        </w:tc>
        <w:tc>
          <w:tcPr>
            <w:tcW w:w="555" w:type="dxa"/>
          </w:tcPr>
          <w:p w14:paraId="1A80DF98" w14:textId="77777777" w:rsidR="00E45EC4" w:rsidRPr="005D3DDE" w:rsidRDefault="00E45EC4" w:rsidP="005D3DDE">
            <w:pPr>
              <w:ind w:left="360"/>
              <w:jc w:val="both"/>
              <w:rPr>
                <w:rFonts w:ascii="Tahoma" w:hAnsi="Tahoma" w:cs="Tahoma"/>
              </w:rPr>
            </w:pPr>
          </w:p>
        </w:tc>
        <w:tc>
          <w:tcPr>
            <w:tcW w:w="4265" w:type="dxa"/>
          </w:tcPr>
          <w:p w14:paraId="5D0E81AA" w14:textId="77777777" w:rsidR="00E45EC4" w:rsidRPr="005D3DDE" w:rsidRDefault="00E45EC4" w:rsidP="005D3DDE">
            <w:pPr>
              <w:ind w:left="360"/>
              <w:jc w:val="both"/>
              <w:rPr>
                <w:rFonts w:ascii="Tahoma" w:hAnsi="Tahoma" w:cs="Tahoma"/>
              </w:rPr>
            </w:pPr>
          </w:p>
        </w:tc>
      </w:tr>
      <w:tr w:rsidR="00E45EC4" w:rsidRPr="00E45EC4" w14:paraId="2923B6D1" w14:textId="77777777" w:rsidTr="00B45121">
        <w:tc>
          <w:tcPr>
            <w:tcW w:w="3557" w:type="dxa"/>
          </w:tcPr>
          <w:p w14:paraId="2F6393D7"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There are interventions to promote an open culture and ease of parental communication around sexual issues with adolescents.</w:t>
            </w:r>
          </w:p>
        </w:tc>
        <w:tc>
          <w:tcPr>
            <w:tcW w:w="639" w:type="dxa"/>
          </w:tcPr>
          <w:p w14:paraId="1A2B5AD3" w14:textId="77777777" w:rsidR="00E45EC4" w:rsidRPr="005D3DDE" w:rsidRDefault="00E45EC4" w:rsidP="005D3DDE">
            <w:pPr>
              <w:ind w:left="360"/>
              <w:jc w:val="both"/>
              <w:rPr>
                <w:rFonts w:ascii="Tahoma" w:hAnsi="Tahoma" w:cs="Tahoma"/>
              </w:rPr>
            </w:pPr>
          </w:p>
        </w:tc>
        <w:tc>
          <w:tcPr>
            <w:tcW w:w="555" w:type="dxa"/>
          </w:tcPr>
          <w:p w14:paraId="0C482194" w14:textId="77777777" w:rsidR="00E45EC4" w:rsidRPr="005D3DDE" w:rsidRDefault="00E45EC4" w:rsidP="005D3DDE">
            <w:pPr>
              <w:ind w:left="360"/>
              <w:jc w:val="both"/>
              <w:rPr>
                <w:rFonts w:ascii="Tahoma" w:hAnsi="Tahoma" w:cs="Tahoma"/>
              </w:rPr>
            </w:pPr>
          </w:p>
        </w:tc>
        <w:tc>
          <w:tcPr>
            <w:tcW w:w="4265" w:type="dxa"/>
          </w:tcPr>
          <w:p w14:paraId="463CE4D6" w14:textId="77777777" w:rsidR="00E45EC4" w:rsidRPr="005D3DDE" w:rsidRDefault="00E45EC4" w:rsidP="005D3DDE">
            <w:pPr>
              <w:ind w:left="360"/>
              <w:jc w:val="both"/>
              <w:rPr>
                <w:rFonts w:ascii="Tahoma" w:hAnsi="Tahoma" w:cs="Tahoma"/>
              </w:rPr>
            </w:pPr>
          </w:p>
        </w:tc>
      </w:tr>
      <w:tr w:rsidR="00E45EC4" w:rsidRPr="00E45EC4" w14:paraId="29B209D7" w14:textId="77777777" w:rsidTr="00B45121">
        <w:tc>
          <w:tcPr>
            <w:tcW w:w="3557" w:type="dxa"/>
          </w:tcPr>
          <w:p w14:paraId="5A2937EE"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Schools unconditionally protect pregnant learners right to remain in school during and after the pregnancy.</w:t>
            </w:r>
            <w:r w:rsidRPr="00E45EC4">
              <w:rPr>
                <w:rStyle w:val="FootnoteReference"/>
                <w:rFonts w:ascii="Tahoma" w:hAnsi="Tahoma" w:cs="Tahoma"/>
              </w:rPr>
              <w:footnoteReference w:id="17"/>
            </w:r>
          </w:p>
        </w:tc>
        <w:tc>
          <w:tcPr>
            <w:tcW w:w="639" w:type="dxa"/>
          </w:tcPr>
          <w:p w14:paraId="7A5394A7" w14:textId="77777777" w:rsidR="00E45EC4" w:rsidRPr="005D3DDE" w:rsidRDefault="00E45EC4" w:rsidP="005D3DDE">
            <w:pPr>
              <w:ind w:left="360"/>
              <w:jc w:val="both"/>
              <w:rPr>
                <w:rFonts w:ascii="Tahoma" w:hAnsi="Tahoma" w:cs="Tahoma"/>
              </w:rPr>
            </w:pPr>
          </w:p>
        </w:tc>
        <w:tc>
          <w:tcPr>
            <w:tcW w:w="555" w:type="dxa"/>
          </w:tcPr>
          <w:p w14:paraId="737AB9C9" w14:textId="77777777" w:rsidR="00E45EC4" w:rsidRPr="005D3DDE" w:rsidRDefault="00E45EC4" w:rsidP="005D3DDE">
            <w:pPr>
              <w:ind w:left="360"/>
              <w:jc w:val="both"/>
              <w:rPr>
                <w:rFonts w:ascii="Tahoma" w:hAnsi="Tahoma" w:cs="Tahoma"/>
              </w:rPr>
            </w:pPr>
          </w:p>
        </w:tc>
        <w:tc>
          <w:tcPr>
            <w:tcW w:w="4265" w:type="dxa"/>
          </w:tcPr>
          <w:p w14:paraId="46363C3F" w14:textId="77777777" w:rsidR="00E45EC4" w:rsidRPr="005D3DDE" w:rsidRDefault="00E45EC4" w:rsidP="005D3DDE">
            <w:pPr>
              <w:ind w:left="360"/>
              <w:jc w:val="both"/>
              <w:rPr>
                <w:rFonts w:ascii="Tahoma" w:hAnsi="Tahoma" w:cs="Tahoma"/>
              </w:rPr>
            </w:pPr>
          </w:p>
        </w:tc>
      </w:tr>
      <w:tr w:rsidR="00E45EC4" w:rsidRPr="00E45EC4" w14:paraId="47A2A34B" w14:textId="77777777" w:rsidTr="00B45121">
        <w:tc>
          <w:tcPr>
            <w:tcW w:w="3557" w:type="dxa"/>
            <w:shd w:val="clear" w:color="auto" w:fill="BFBFBF" w:themeFill="background1" w:themeFillShade="BF"/>
          </w:tcPr>
          <w:p w14:paraId="2E30457D" w14:textId="77777777" w:rsidR="00E45EC4" w:rsidRPr="005D3DDE" w:rsidRDefault="00E45EC4" w:rsidP="005D3DDE">
            <w:pPr>
              <w:jc w:val="both"/>
              <w:rPr>
                <w:rFonts w:ascii="Tahoma" w:eastAsia="Times New Roman" w:hAnsi="Tahoma" w:cs="Tahoma"/>
                <w:b/>
                <w:bCs/>
                <w:lang w:eastAsia="en-ZW"/>
              </w:rPr>
            </w:pPr>
            <w:r w:rsidRPr="005D3DDE">
              <w:rPr>
                <w:rFonts w:ascii="Tahoma" w:eastAsia="Times New Roman" w:hAnsi="Tahoma" w:cs="Tahoma"/>
                <w:b/>
                <w:bCs/>
                <w:lang w:eastAsia="en-ZW"/>
              </w:rPr>
              <w:t>Maternal Health</w:t>
            </w:r>
            <w:r w:rsidRPr="00E45EC4">
              <w:rPr>
                <w:rStyle w:val="FootnoteReference"/>
                <w:rFonts w:ascii="Tahoma" w:eastAsia="Times New Roman" w:hAnsi="Tahoma" w:cs="Tahoma"/>
                <w:b/>
                <w:bCs/>
                <w:lang w:eastAsia="en-ZW"/>
              </w:rPr>
              <w:footnoteReference w:id="18"/>
            </w:r>
          </w:p>
        </w:tc>
        <w:tc>
          <w:tcPr>
            <w:tcW w:w="639" w:type="dxa"/>
            <w:shd w:val="clear" w:color="auto" w:fill="BFBFBF" w:themeFill="background1" w:themeFillShade="BF"/>
          </w:tcPr>
          <w:p w14:paraId="0CE691B9" w14:textId="77777777" w:rsidR="00E45EC4" w:rsidRPr="00E45EC4" w:rsidRDefault="00E45EC4" w:rsidP="005417B1">
            <w:pPr>
              <w:jc w:val="both"/>
              <w:rPr>
                <w:rFonts w:ascii="Tahoma" w:eastAsia="Times New Roman" w:hAnsi="Tahoma" w:cs="Tahoma"/>
                <w:b/>
                <w:bCs/>
                <w:lang w:eastAsia="en-ZW"/>
              </w:rPr>
            </w:pPr>
          </w:p>
        </w:tc>
        <w:tc>
          <w:tcPr>
            <w:tcW w:w="555" w:type="dxa"/>
            <w:shd w:val="clear" w:color="auto" w:fill="BFBFBF" w:themeFill="background1" w:themeFillShade="BF"/>
          </w:tcPr>
          <w:p w14:paraId="04711A5C" w14:textId="77777777" w:rsidR="00E45EC4" w:rsidRPr="00E45EC4" w:rsidRDefault="00E45EC4" w:rsidP="005417B1">
            <w:pPr>
              <w:jc w:val="both"/>
              <w:rPr>
                <w:rFonts w:ascii="Tahoma" w:eastAsia="Times New Roman" w:hAnsi="Tahoma" w:cs="Tahoma"/>
                <w:b/>
                <w:bCs/>
                <w:lang w:eastAsia="en-ZW"/>
              </w:rPr>
            </w:pPr>
          </w:p>
        </w:tc>
        <w:tc>
          <w:tcPr>
            <w:tcW w:w="4265" w:type="dxa"/>
            <w:shd w:val="clear" w:color="auto" w:fill="BFBFBF" w:themeFill="background1" w:themeFillShade="BF"/>
          </w:tcPr>
          <w:p w14:paraId="020CFF16" w14:textId="77777777" w:rsidR="00E45EC4" w:rsidRPr="00E45EC4" w:rsidRDefault="00E45EC4" w:rsidP="005417B1">
            <w:pPr>
              <w:jc w:val="both"/>
              <w:rPr>
                <w:rFonts w:ascii="Tahoma" w:eastAsia="Times New Roman" w:hAnsi="Tahoma" w:cs="Tahoma"/>
                <w:b/>
                <w:bCs/>
                <w:lang w:eastAsia="en-ZW"/>
              </w:rPr>
            </w:pPr>
          </w:p>
        </w:tc>
      </w:tr>
      <w:tr w:rsidR="00E45EC4" w:rsidRPr="00E45EC4" w14:paraId="14BB4C23" w14:textId="77777777" w:rsidTr="00B45121">
        <w:tc>
          <w:tcPr>
            <w:tcW w:w="3557" w:type="dxa"/>
          </w:tcPr>
          <w:p w14:paraId="455F45D8" w14:textId="77777777" w:rsidR="00E45EC4" w:rsidRPr="00E45EC4" w:rsidRDefault="00E45EC4" w:rsidP="00E45EC4">
            <w:pPr>
              <w:pStyle w:val="ListParagraph"/>
              <w:numPr>
                <w:ilvl w:val="0"/>
                <w:numId w:val="28"/>
              </w:numPr>
              <w:jc w:val="both"/>
              <w:rPr>
                <w:rFonts w:ascii="Tahoma" w:eastAsia="Calibri" w:hAnsi="Tahoma" w:cs="Tahoma"/>
                <w:lang w:eastAsia="en-ZA"/>
              </w:rPr>
            </w:pPr>
            <w:r w:rsidRPr="00E45EC4">
              <w:rPr>
                <w:rFonts w:ascii="Tahoma" w:eastAsia="Calibri" w:hAnsi="Tahoma" w:cs="Tahoma"/>
                <w:lang w:eastAsia="en-ZA"/>
              </w:rPr>
              <w:t>Health system does not compromise quality of antenatal care to young mothers compared to older mothers.</w:t>
            </w:r>
          </w:p>
        </w:tc>
        <w:tc>
          <w:tcPr>
            <w:tcW w:w="639" w:type="dxa"/>
          </w:tcPr>
          <w:p w14:paraId="730758E4" w14:textId="77777777" w:rsidR="00E45EC4" w:rsidRPr="00B45121" w:rsidRDefault="00E45EC4" w:rsidP="00B45121">
            <w:pPr>
              <w:ind w:left="360"/>
              <w:jc w:val="both"/>
              <w:rPr>
                <w:rFonts w:ascii="Tahoma" w:eastAsia="Calibri" w:hAnsi="Tahoma" w:cs="Tahoma"/>
                <w:lang w:eastAsia="en-ZA"/>
              </w:rPr>
            </w:pPr>
          </w:p>
        </w:tc>
        <w:tc>
          <w:tcPr>
            <w:tcW w:w="555" w:type="dxa"/>
          </w:tcPr>
          <w:p w14:paraId="7BEA1278" w14:textId="77777777" w:rsidR="00E45EC4" w:rsidRPr="00B45121" w:rsidRDefault="00E45EC4" w:rsidP="00B45121">
            <w:pPr>
              <w:ind w:left="360"/>
              <w:jc w:val="both"/>
              <w:rPr>
                <w:rFonts w:ascii="Tahoma" w:eastAsia="Calibri" w:hAnsi="Tahoma" w:cs="Tahoma"/>
                <w:lang w:eastAsia="en-ZA"/>
              </w:rPr>
            </w:pPr>
          </w:p>
        </w:tc>
        <w:tc>
          <w:tcPr>
            <w:tcW w:w="4265" w:type="dxa"/>
          </w:tcPr>
          <w:p w14:paraId="5DD3784F" w14:textId="77777777" w:rsidR="00E45EC4" w:rsidRPr="00B45121" w:rsidRDefault="00E45EC4" w:rsidP="00B45121">
            <w:pPr>
              <w:ind w:left="360"/>
              <w:jc w:val="both"/>
              <w:rPr>
                <w:rFonts w:ascii="Tahoma" w:eastAsia="Calibri" w:hAnsi="Tahoma" w:cs="Tahoma"/>
                <w:lang w:eastAsia="en-ZA"/>
              </w:rPr>
            </w:pPr>
          </w:p>
        </w:tc>
      </w:tr>
      <w:tr w:rsidR="00E45EC4" w:rsidRPr="00E45EC4" w14:paraId="71426A29" w14:textId="77777777" w:rsidTr="00B45121">
        <w:tc>
          <w:tcPr>
            <w:tcW w:w="3557" w:type="dxa"/>
          </w:tcPr>
          <w:p w14:paraId="7064A198" w14:textId="77777777" w:rsidR="00E45EC4" w:rsidRPr="00E45EC4" w:rsidRDefault="00E45EC4" w:rsidP="00E45EC4">
            <w:pPr>
              <w:pStyle w:val="ListParagraph"/>
              <w:numPr>
                <w:ilvl w:val="0"/>
                <w:numId w:val="28"/>
              </w:numPr>
              <w:jc w:val="both"/>
              <w:rPr>
                <w:rFonts w:ascii="Tahoma" w:eastAsia="Calibri" w:hAnsi="Tahoma" w:cs="Tahoma"/>
                <w:lang w:eastAsia="en-ZA"/>
              </w:rPr>
            </w:pPr>
            <w:r w:rsidRPr="00E45EC4">
              <w:rPr>
                <w:rFonts w:ascii="Tahoma" w:eastAsia="Calibri" w:hAnsi="Tahoma" w:cs="Tahoma"/>
                <w:lang w:eastAsia="en-ZA"/>
              </w:rPr>
              <w:t>Health system provides adequate information and suitable environment to enable y</w:t>
            </w:r>
            <w:r w:rsidRPr="00E45EC4">
              <w:rPr>
                <w:rFonts w:ascii="Tahoma" w:hAnsi="Tahoma" w:cs="Tahoma"/>
              </w:rPr>
              <w:t>oung women to request and receive a pregnancy test.</w:t>
            </w:r>
          </w:p>
        </w:tc>
        <w:tc>
          <w:tcPr>
            <w:tcW w:w="639" w:type="dxa"/>
          </w:tcPr>
          <w:p w14:paraId="5F983DFA" w14:textId="77777777" w:rsidR="00E45EC4" w:rsidRPr="00B45121" w:rsidRDefault="00E45EC4" w:rsidP="00B45121">
            <w:pPr>
              <w:ind w:left="360"/>
              <w:jc w:val="both"/>
              <w:rPr>
                <w:rFonts w:ascii="Tahoma" w:eastAsia="Calibri" w:hAnsi="Tahoma" w:cs="Tahoma"/>
                <w:lang w:eastAsia="en-ZA"/>
              </w:rPr>
            </w:pPr>
          </w:p>
        </w:tc>
        <w:tc>
          <w:tcPr>
            <w:tcW w:w="555" w:type="dxa"/>
          </w:tcPr>
          <w:p w14:paraId="6E8E801A" w14:textId="77777777" w:rsidR="00E45EC4" w:rsidRPr="00B45121" w:rsidRDefault="00E45EC4" w:rsidP="00B45121">
            <w:pPr>
              <w:ind w:left="360"/>
              <w:jc w:val="both"/>
              <w:rPr>
                <w:rFonts w:ascii="Tahoma" w:eastAsia="Calibri" w:hAnsi="Tahoma" w:cs="Tahoma"/>
                <w:lang w:eastAsia="en-ZA"/>
              </w:rPr>
            </w:pPr>
          </w:p>
        </w:tc>
        <w:tc>
          <w:tcPr>
            <w:tcW w:w="4265" w:type="dxa"/>
          </w:tcPr>
          <w:p w14:paraId="6BD54EF1" w14:textId="77777777" w:rsidR="00E45EC4" w:rsidRPr="00B45121" w:rsidRDefault="00E45EC4" w:rsidP="00B45121">
            <w:pPr>
              <w:ind w:left="360"/>
              <w:jc w:val="both"/>
              <w:rPr>
                <w:rFonts w:ascii="Tahoma" w:eastAsia="Calibri" w:hAnsi="Tahoma" w:cs="Tahoma"/>
                <w:lang w:eastAsia="en-ZA"/>
              </w:rPr>
            </w:pPr>
          </w:p>
        </w:tc>
      </w:tr>
      <w:tr w:rsidR="00E45EC4" w:rsidRPr="00E45EC4" w14:paraId="09DC8E3B" w14:textId="77777777" w:rsidTr="00B45121">
        <w:tc>
          <w:tcPr>
            <w:tcW w:w="3557" w:type="dxa"/>
          </w:tcPr>
          <w:p w14:paraId="1BEF956B" w14:textId="77777777" w:rsidR="00E45EC4" w:rsidRPr="00E45EC4" w:rsidRDefault="00E45EC4" w:rsidP="00E45EC4">
            <w:pPr>
              <w:pStyle w:val="ListParagraph"/>
              <w:numPr>
                <w:ilvl w:val="0"/>
                <w:numId w:val="28"/>
              </w:numPr>
              <w:jc w:val="both"/>
              <w:rPr>
                <w:rFonts w:ascii="Tahoma" w:eastAsia="Calibri" w:hAnsi="Tahoma" w:cs="Tahoma"/>
                <w:lang w:eastAsia="en-ZA"/>
              </w:rPr>
            </w:pPr>
            <w:r w:rsidRPr="00E45EC4">
              <w:rPr>
                <w:rFonts w:ascii="Tahoma" w:eastAsia="Calibri" w:hAnsi="Tahoma" w:cs="Tahoma"/>
                <w:lang w:eastAsia="en-ZA"/>
              </w:rPr>
              <w:t>To reduce the high levels of maternal mortality amongst young mothers, there are strategies including p</w:t>
            </w:r>
            <w:r w:rsidRPr="00E45EC4">
              <w:rPr>
                <w:rFonts w:ascii="Tahoma" w:hAnsi="Tahoma" w:cs="Tahoma"/>
              </w:rPr>
              <w:t>romoting birth and emergency preparedness in antenatal care strategies for pregnant adolescents in household, community and health facility settings.</w:t>
            </w:r>
          </w:p>
        </w:tc>
        <w:tc>
          <w:tcPr>
            <w:tcW w:w="639" w:type="dxa"/>
          </w:tcPr>
          <w:p w14:paraId="5143DA59" w14:textId="77777777" w:rsidR="00E45EC4" w:rsidRPr="00B45121" w:rsidRDefault="00E45EC4" w:rsidP="00B45121">
            <w:pPr>
              <w:ind w:left="360"/>
              <w:jc w:val="both"/>
              <w:rPr>
                <w:rFonts w:ascii="Tahoma" w:eastAsia="Calibri" w:hAnsi="Tahoma" w:cs="Tahoma"/>
                <w:lang w:eastAsia="en-ZA"/>
              </w:rPr>
            </w:pPr>
          </w:p>
        </w:tc>
        <w:tc>
          <w:tcPr>
            <w:tcW w:w="555" w:type="dxa"/>
          </w:tcPr>
          <w:p w14:paraId="331C762E" w14:textId="77777777" w:rsidR="00E45EC4" w:rsidRPr="00B45121" w:rsidRDefault="00E45EC4" w:rsidP="00B45121">
            <w:pPr>
              <w:ind w:left="360"/>
              <w:jc w:val="both"/>
              <w:rPr>
                <w:rFonts w:ascii="Tahoma" w:eastAsia="Calibri" w:hAnsi="Tahoma" w:cs="Tahoma"/>
                <w:lang w:eastAsia="en-ZA"/>
              </w:rPr>
            </w:pPr>
          </w:p>
        </w:tc>
        <w:tc>
          <w:tcPr>
            <w:tcW w:w="4265" w:type="dxa"/>
          </w:tcPr>
          <w:p w14:paraId="65EE8120" w14:textId="77777777" w:rsidR="00E45EC4" w:rsidRPr="00B45121" w:rsidRDefault="00E45EC4" w:rsidP="00B45121">
            <w:pPr>
              <w:ind w:left="360"/>
              <w:jc w:val="both"/>
              <w:rPr>
                <w:rFonts w:ascii="Tahoma" w:eastAsia="Calibri" w:hAnsi="Tahoma" w:cs="Tahoma"/>
                <w:lang w:eastAsia="en-ZA"/>
              </w:rPr>
            </w:pPr>
          </w:p>
        </w:tc>
      </w:tr>
      <w:tr w:rsidR="00E45EC4" w:rsidRPr="00E45EC4" w14:paraId="1575FD6B" w14:textId="77777777" w:rsidTr="00B45121">
        <w:tc>
          <w:tcPr>
            <w:tcW w:w="3557" w:type="dxa"/>
          </w:tcPr>
          <w:p w14:paraId="6D492C99" w14:textId="77777777" w:rsidR="00E45EC4" w:rsidRPr="00E45EC4" w:rsidRDefault="00E45EC4" w:rsidP="00E45EC4">
            <w:pPr>
              <w:pStyle w:val="ListParagraph"/>
              <w:numPr>
                <w:ilvl w:val="0"/>
                <w:numId w:val="28"/>
              </w:numPr>
              <w:jc w:val="both"/>
              <w:rPr>
                <w:rFonts w:ascii="Tahoma" w:eastAsia="Calibri" w:hAnsi="Tahoma" w:cs="Tahoma"/>
                <w:lang w:eastAsia="en-ZA"/>
              </w:rPr>
            </w:pPr>
            <w:r w:rsidRPr="00E45EC4">
              <w:rPr>
                <w:rFonts w:ascii="Tahoma" w:eastAsia="Calibri" w:hAnsi="Tahoma" w:cs="Tahoma"/>
                <w:lang w:eastAsia="en-ZA"/>
              </w:rPr>
              <w:t>There are e</w:t>
            </w:r>
            <w:r w:rsidRPr="00E45EC4">
              <w:rPr>
                <w:rFonts w:ascii="Tahoma" w:hAnsi="Tahoma" w:cs="Tahoma"/>
              </w:rPr>
              <w:t>fforts to ensure the availability of and access to adolescent friendly antenatal, intrapartum and postnatal care, including basic emergency obstetric care and comprehensive emergency obstetric care.</w:t>
            </w:r>
          </w:p>
        </w:tc>
        <w:tc>
          <w:tcPr>
            <w:tcW w:w="639" w:type="dxa"/>
          </w:tcPr>
          <w:p w14:paraId="2B40C825" w14:textId="77777777" w:rsidR="00E45EC4" w:rsidRPr="00B45121" w:rsidRDefault="00E45EC4" w:rsidP="00B45121">
            <w:pPr>
              <w:ind w:left="360"/>
              <w:jc w:val="both"/>
              <w:rPr>
                <w:rFonts w:ascii="Tahoma" w:eastAsia="Calibri" w:hAnsi="Tahoma" w:cs="Tahoma"/>
                <w:lang w:eastAsia="en-ZA"/>
              </w:rPr>
            </w:pPr>
          </w:p>
        </w:tc>
        <w:tc>
          <w:tcPr>
            <w:tcW w:w="555" w:type="dxa"/>
          </w:tcPr>
          <w:p w14:paraId="6F4AEFE8" w14:textId="77777777" w:rsidR="00E45EC4" w:rsidRPr="00B45121" w:rsidRDefault="00E45EC4" w:rsidP="00B45121">
            <w:pPr>
              <w:ind w:left="360"/>
              <w:jc w:val="both"/>
              <w:rPr>
                <w:rFonts w:ascii="Tahoma" w:eastAsia="Calibri" w:hAnsi="Tahoma" w:cs="Tahoma"/>
                <w:lang w:eastAsia="en-ZA"/>
              </w:rPr>
            </w:pPr>
          </w:p>
        </w:tc>
        <w:tc>
          <w:tcPr>
            <w:tcW w:w="4265" w:type="dxa"/>
          </w:tcPr>
          <w:p w14:paraId="28E28787" w14:textId="77777777" w:rsidR="00E45EC4" w:rsidRPr="00B45121" w:rsidRDefault="00E45EC4" w:rsidP="00B45121">
            <w:pPr>
              <w:ind w:left="360"/>
              <w:jc w:val="both"/>
              <w:rPr>
                <w:rFonts w:ascii="Tahoma" w:eastAsia="Calibri" w:hAnsi="Tahoma" w:cs="Tahoma"/>
                <w:lang w:eastAsia="en-ZA"/>
              </w:rPr>
            </w:pPr>
          </w:p>
        </w:tc>
      </w:tr>
      <w:tr w:rsidR="00E45EC4" w:rsidRPr="00E45EC4" w14:paraId="70FD3857" w14:textId="77777777" w:rsidTr="00B45121">
        <w:tc>
          <w:tcPr>
            <w:tcW w:w="3557" w:type="dxa"/>
          </w:tcPr>
          <w:p w14:paraId="6A87AE43" w14:textId="77777777" w:rsidR="00E45EC4" w:rsidRPr="00E45EC4" w:rsidRDefault="00E45EC4" w:rsidP="00E45EC4">
            <w:pPr>
              <w:pStyle w:val="ListParagraph"/>
              <w:numPr>
                <w:ilvl w:val="0"/>
                <w:numId w:val="28"/>
              </w:numPr>
              <w:jc w:val="both"/>
              <w:rPr>
                <w:rFonts w:ascii="Tahoma" w:eastAsia="Calibri" w:hAnsi="Tahoma" w:cs="Tahoma"/>
                <w:lang w:eastAsia="en-ZA"/>
              </w:rPr>
            </w:pPr>
            <w:r w:rsidRPr="00E45EC4">
              <w:rPr>
                <w:rFonts w:ascii="Tahoma" w:hAnsi="Tahoma" w:cs="Tahoma"/>
              </w:rPr>
              <w:t>There are efforts to ensure that adolescent young women can request and receive help with breast feeding.</w:t>
            </w:r>
            <w:r w:rsidRPr="00E45EC4">
              <w:rPr>
                <w:rStyle w:val="FootnoteReference"/>
                <w:rFonts w:ascii="Tahoma" w:hAnsi="Tahoma" w:cs="Tahoma"/>
              </w:rPr>
              <w:footnoteReference w:id="19"/>
            </w:r>
          </w:p>
        </w:tc>
        <w:tc>
          <w:tcPr>
            <w:tcW w:w="639" w:type="dxa"/>
          </w:tcPr>
          <w:p w14:paraId="7235299D" w14:textId="77777777" w:rsidR="00E45EC4" w:rsidRPr="00B45121" w:rsidRDefault="00E45EC4" w:rsidP="00B45121">
            <w:pPr>
              <w:ind w:left="360"/>
              <w:jc w:val="both"/>
              <w:rPr>
                <w:rFonts w:ascii="Tahoma" w:hAnsi="Tahoma" w:cs="Tahoma"/>
              </w:rPr>
            </w:pPr>
          </w:p>
        </w:tc>
        <w:tc>
          <w:tcPr>
            <w:tcW w:w="555" w:type="dxa"/>
          </w:tcPr>
          <w:p w14:paraId="7C8A4DBD" w14:textId="77777777" w:rsidR="00E45EC4" w:rsidRPr="00B45121" w:rsidRDefault="00E45EC4" w:rsidP="00B45121">
            <w:pPr>
              <w:ind w:left="360"/>
              <w:jc w:val="both"/>
              <w:rPr>
                <w:rFonts w:ascii="Tahoma" w:hAnsi="Tahoma" w:cs="Tahoma"/>
              </w:rPr>
            </w:pPr>
          </w:p>
        </w:tc>
        <w:tc>
          <w:tcPr>
            <w:tcW w:w="4265" w:type="dxa"/>
          </w:tcPr>
          <w:p w14:paraId="60D54677" w14:textId="77777777" w:rsidR="00E45EC4" w:rsidRPr="00B45121" w:rsidRDefault="00E45EC4" w:rsidP="00B45121">
            <w:pPr>
              <w:ind w:left="360"/>
              <w:jc w:val="both"/>
              <w:rPr>
                <w:rFonts w:ascii="Tahoma" w:hAnsi="Tahoma" w:cs="Tahoma"/>
              </w:rPr>
            </w:pPr>
          </w:p>
        </w:tc>
      </w:tr>
      <w:tr w:rsidR="00E45EC4" w:rsidRPr="00E45EC4" w14:paraId="2544D905" w14:textId="77777777" w:rsidTr="00B45121">
        <w:tc>
          <w:tcPr>
            <w:tcW w:w="3557" w:type="dxa"/>
            <w:shd w:val="clear" w:color="auto" w:fill="BFBFBF" w:themeFill="background1" w:themeFillShade="BF"/>
          </w:tcPr>
          <w:p w14:paraId="3D675E23" w14:textId="77777777" w:rsidR="00E45EC4" w:rsidRPr="00B45121" w:rsidRDefault="00E45EC4" w:rsidP="00B45121">
            <w:pPr>
              <w:jc w:val="both"/>
              <w:rPr>
                <w:rFonts w:ascii="Tahoma" w:eastAsia="Times New Roman" w:hAnsi="Tahoma" w:cs="Tahoma"/>
                <w:b/>
                <w:bCs/>
                <w:lang w:eastAsia="en-ZW"/>
              </w:rPr>
            </w:pPr>
            <w:r w:rsidRPr="00B45121">
              <w:rPr>
                <w:rFonts w:ascii="Tahoma" w:eastAsia="Times New Roman" w:hAnsi="Tahoma" w:cs="Tahoma"/>
                <w:b/>
                <w:bCs/>
                <w:lang w:eastAsia="en-ZW"/>
              </w:rPr>
              <w:t>Menstrual health</w:t>
            </w:r>
            <w:r w:rsidRPr="00E45EC4">
              <w:rPr>
                <w:rStyle w:val="FootnoteReference"/>
                <w:rFonts w:ascii="Tahoma" w:eastAsia="Times New Roman" w:hAnsi="Tahoma" w:cs="Tahoma"/>
                <w:b/>
                <w:bCs/>
                <w:lang w:eastAsia="en-ZW"/>
              </w:rPr>
              <w:footnoteReference w:id="20"/>
            </w:r>
          </w:p>
        </w:tc>
        <w:tc>
          <w:tcPr>
            <w:tcW w:w="639" w:type="dxa"/>
            <w:shd w:val="clear" w:color="auto" w:fill="BFBFBF" w:themeFill="background1" w:themeFillShade="BF"/>
          </w:tcPr>
          <w:p w14:paraId="41933A5C" w14:textId="77777777" w:rsidR="00E45EC4" w:rsidRPr="00E45EC4" w:rsidRDefault="00E45EC4" w:rsidP="005417B1">
            <w:pPr>
              <w:jc w:val="both"/>
              <w:rPr>
                <w:rFonts w:ascii="Tahoma" w:eastAsia="Times New Roman" w:hAnsi="Tahoma" w:cs="Tahoma"/>
                <w:b/>
                <w:bCs/>
                <w:lang w:eastAsia="en-ZW"/>
              </w:rPr>
            </w:pPr>
          </w:p>
        </w:tc>
        <w:tc>
          <w:tcPr>
            <w:tcW w:w="555" w:type="dxa"/>
            <w:shd w:val="clear" w:color="auto" w:fill="BFBFBF" w:themeFill="background1" w:themeFillShade="BF"/>
          </w:tcPr>
          <w:p w14:paraId="4832A680" w14:textId="77777777" w:rsidR="00E45EC4" w:rsidRPr="00E45EC4" w:rsidRDefault="00E45EC4" w:rsidP="005417B1">
            <w:pPr>
              <w:jc w:val="both"/>
              <w:rPr>
                <w:rFonts w:ascii="Tahoma" w:eastAsia="Times New Roman" w:hAnsi="Tahoma" w:cs="Tahoma"/>
                <w:b/>
                <w:bCs/>
                <w:lang w:eastAsia="en-ZW"/>
              </w:rPr>
            </w:pPr>
          </w:p>
        </w:tc>
        <w:tc>
          <w:tcPr>
            <w:tcW w:w="4265" w:type="dxa"/>
            <w:shd w:val="clear" w:color="auto" w:fill="BFBFBF" w:themeFill="background1" w:themeFillShade="BF"/>
          </w:tcPr>
          <w:p w14:paraId="5A2A567D" w14:textId="77777777" w:rsidR="00E45EC4" w:rsidRPr="00E45EC4" w:rsidRDefault="00E45EC4" w:rsidP="005417B1">
            <w:pPr>
              <w:jc w:val="both"/>
              <w:rPr>
                <w:rFonts w:ascii="Tahoma" w:eastAsia="Times New Roman" w:hAnsi="Tahoma" w:cs="Tahoma"/>
                <w:b/>
                <w:bCs/>
                <w:lang w:eastAsia="en-ZW"/>
              </w:rPr>
            </w:pPr>
          </w:p>
        </w:tc>
      </w:tr>
      <w:tr w:rsidR="00E45EC4" w:rsidRPr="00E45EC4" w14:paraId="057B8700" w14:textId="77777777" w:rsidTr="00B45121">
        <w:tc>
          <w:tcPr>
            <w:tcW w:w="3557" w:type="dxa"/>
          </w:tcPr>
          <w:p w14:paraId="5D4665F6" w14:textId="77777777" w:rsidR="00E45EC4" w:rsidRPr="00E45EC4" w:rsidRDefault="00E45EC4" w:rsidP="00E45EC4">
            <w:pPr>
              <w:pStyle w:val="ListParagraph"/>
              <w:numPr>
                <w:ilvl w:val="0"/>
                <w:numId w:val="28"/>
              </w:numPr>
              <w:jc w:val="both"/>
              <w:rPr>
                <w:rFonts w:ascii="Tahoma" w:eastAsia="Times New Roman" w:hAnsi="Tahoma" w:cs="Tahoma"/>
                <w:lang w:eastAsia="en-ZW"/>
              </w:rPr>
            </w:pPr>
            <w:r w:rsidRPr="00E45EC4">
              <w:rPr>
                <w:rFonts w:ascii="Tahoma" w:eastAsia="Times New Roman" w:hAnsi="Tahoma" w:cs="Tahoma"/>
                <w:lang w:eastAsia="en-ZW"/>
              </w:rPr>
              <w:t>There is provision of free menstrual ware to both in and out of school girls including those in hard to reach areas, the disabled and vulnerable to Covid-19 pandemic</w:t>
            </w:r>
            <w:r w:rsidRPr="00E45EC4">
              <w:rPr>
                <w:rStyle w:val="FootnoteReference"/>
                <w:rFonts w:ascii="Tahoma" w:eastAsia="Times New Roman" w:hAnsi="Tahoma" w:cs="Tahoma"/>
                <w:lang w:eastAsia="en-ZW"/>
              </w:rPr>
              <w:footnoteReference w:id="21"/>
            </w:r>
            <w:r w:rsidRPr="00E45EC4">
              <w:rPr>
                <w:rFonts w:ascii="Tahoma" w:eastAsia="Times New Roman" w:hAnsi="Tahoma" w:cs="Tahoma"/>
                <w:lang w:eastAsia="en-ZW"/>
              </w:rPr>
              <w:t>.</w:t>
            </w:r>
          </w:p>
        </w:tc>
        <w:tc>
          <w:tcPr>
            <w:tcW w:w="639" w:type="dxa"/>
          </w:tcPr>
          <w:p w14:paraId="70C283B4" w14:textId="77777777" w:rsidR="00E45EC4" w:rsidRPr="00B45121" w:rsidRDefault="00E45EC4" w:rsidP="00B45121">
            <w:pPr>
              <w:ind w:left="360"/>
              <w:jc w:val="both"/>
              <w:rPr>
                <w:rFonts w:ascii="Tahoma" w:eastAsia="Times New Roman" w:hAnsi="Tahoma" w:cs="Tahoma"/>
                <w:lang w:eastAsia="en-ZW"/>
              </w:rPr>
            </w:pPr>
          </w:p>
        </w:tc>
        <w:tc>
          <w:tcPr>
            <w:tcW w:w="555" w:type="dxa"/>
          </w:tcPr>
          <w:p w14:paraId="71437B76" w14:textId="77777777" w:rsidR="00E45EC4" w:rsidRPr="00B45121" w:rsidRDefault="00E45EC4" w:rsidP="00B45121">
            <w:pPr>
              <w:ind w:left="360"/>
              <w:jc w:val="both"/>
              <w:rPr>
                <w:rFonts w:ascii="Tahoma" w:eastAsia="Times New Roman" w:hAnsi="Tahoma" w:cs="Tahoma"/>
                <w:lang w:eastAsia="en-ZW"/>
              </w:rPr>
            </w:pPr>
          </w:p>
        </w:tc>
        <w:tc>
          <w:tcPr>
            <w:tcW w:w="4265" w:type="dxa"/>
          </w:tcPr>
          <w:p w14:paraId="44E44D6F" w14:textId="77777777" w:rsidR="00E45EC4" w:rsidRPr="00B45121" w:rsidRDefault="00E45EC4" w:rsidP="00B45121">
            <w:pPr>
              <w:ind w:left="360"/>
              <w:jc w:val="both"/>
              <w:rPr>
                <w:rFonts w:ascii="Tahoma" w:eastAsia="Times New Roman" w:hAnsi="Tahoma" w:cs="Tahoma"/>
                <w:lang w:eastAsia="en-ZW"/>
              </w:rPr>
            </w:pPr>
          </w:p>
        </w:tc>
      </w:tr>
      <w:tr w:rsidR="00E45EC4" w:rsidRPr="00E45EC4" w14:paraId="2496E2AA" w14:textId="77777777" w:rsidTr="00B45121">
        <w:tc>
          <w:tcPr>
            <w:tcW w:w="3557" w:type="dxa"/>
          </w:tcPr>
          <w:p w14:paraId="6EF6BF26" w14:textId="77777777" w:rsidR="00E45EC4" w:rsidRPr="00E45EC4" w:rsidRDefault="00E45EC4" w:rsidP="00E45EC4">
            <w:pPr>
              <w:pStyle w:val="ListParagraph"/>
              <w:numPr>
                <w:ilvl w:val="0"/>
                <w:numId w:val="28"/>
              </w:numPr>
              <w:jc w:val="both"/>
              <w:rPr>
                <w:rFonts w:ascii="Tahoma" w:eastAsia="Times New Roman" w:hAnsi="Tahoma" w:cs="Tahoma"/>
                <w:lang w:eastAsia="en-ZW"/>
              </w:rPr>
            </w:pPr>
            <w:r w:rsidRPr="00E45EC4">
              <w:rPr>
                <w:rFonts w:ascii="Tahoma" w:eastAsia="Times New Roman" w:hAnsi="Tahoma" w:cs="Tahoma"/>
              </w:rPr>
              <w:t xml:space="preserve">There are systems in place (e.g. removal of </w:t>
            </w:r>
            <w:r w:rsidRPr="00E45EC4">
              <w:rPr>
                <w:rFonts w:ascii="Tahoma" w:eastAsia="Times New Roman" w:hAnsi="Tahoma" w:cs="Tahoma"/>
                <w:lang w:eastAsia="en-ZW"/>
              </w:rPr>
              <w:t>Value Added Tax (VAT) and other taxes on menstrual ware</w:t>
            </w:r>
            <w:r w:rsidRPr="00E45EC4">
              <w:rPr>
                <w:rFonts w:ascii="Tahoma" w:eastAsia="Times New Roman" w:hAnsi="Tahoma" w:cs="Tahoma"/>
              </w:rPr>
              <w:t>) to ensure the provision of sustainable and cost-effective sanitary pads to adolescent girls.</w:t>
            </w:r>
          </w:p>
        </w:tc>
        <w:tc>
          <w:tcPr>
            <w:tcW w:w="639" w:type="dxa"/>
          </w:tcPr>
          <w:p w14:paraId="0B0FFED5" w14:textId="77777777" w:rsidR="00E45EC4" w:rsidRPr="00B45121" w:rsidRDefault="00E45EC4" w:rsidP="00B45121">
            <w:pPr>
              <w:ind w:left="360"/>
              <w:jc w:val="both"/>
              <w:rPr>
                <w:rFonts w:ascii="Tahoma" w:eastAsia="Times New Roman" w:hAnsi="Tahoma" w:cs="Tahoma"/>
              </w:rPr>
            </w:pPr>
          </w:p>
        </w:tc>
        <w:tc>
          <w:tcPr>
            <w:tcW w:w="555" w:type="dxa"/>
          </w:tcPr>
          <w:p w14:paraId="7FAFE5C0" w14:textId="77777777" w:rsidR="00E45EC4" w:rsidRPr="00B45121" w:rsidRDefault="00E45EC4" w:rsidP="00B45121">
            <w:pPr>
              <w:ind w:left="360"/>
              <w:jc w:val="both"/>
              <w:rPr>
                <w:rFonts w:ascii="Tahoma" w:eastAsia="Times New Roman" w:hAnsi="Tahoma" w:cs="Tahoma"/>
              </w:rPr>
            </w:pPr>
          </w:p>
        </w:tc>
        <w:tc>
          <w:tcPr>
            <w:tcW w:w="4265" w:type="dxa"/>
          </w:tcPr>
          <w:p w14:paraId="1A0DF5AE" w14:textId="77777777" w:rsidR="00E45EC4" w:rsidRPr="00B45121" w:rsidRDefault="00E45EC4" w:rsidP="00B45121">
            <w:pPr>
              <w:ind w:left="360"/>
              <w:jc w:val="both"/>
              <w:rPr>
                <w:rFonts w:ascii="Tahoma" w:eastAsia="Times New Roman" w:hAnsi="Tahoma" w:cs="Tahoma"/>
              </w:rPr>
            </w:pPr>
          </w:p>
        </w:tc>
      </w:tr>
      <w:tr w:rsidR="00E45EC4" w:rsidRPr="00E45EC4" w14:paraId="31062943" w14:textId="77777777" w:rsidTr="00B45121">
        <w:tc>
          <w:tcPr>
            <w:tcW w:w="3557" w:type="dxa"/>
          </w:tcPr>
          <w:p w14:paraId="4B824E0D" w14:textId="77777777" w:rsidR="00E45EC4" w:rsidRPr="00E45EC4" w:rsidRDefault="00E45EC4" w:rsidP="00E45EC4">
            <w:pPr>
              <w:pStyle w:val="ListParagraph"/>
              <w:numPr>
                <w:ilvl w:val="0"/>
                <w:numId w:val="28"/>
              </w:numPr>
              <w:jc w:val="both"/>
              <w:rPr>
                <w:rFonts w:ascii="Tahoma" w:eastAsia="Times New Roman" w:hAnsi="Tahoma" w:cs="Tahoma"/>
                <w:lang w:eastAsia="en-ZW"/>
              </w:rPr>
            </w:pPr>
            <w:r w:rsidRPr="00E45EC4">
              <w:rPr>
                <w:rFonts w:ascii="Tahoma" w:eastAsia="Times New Roman" w:hAnsi="Tahoma" w:cs="Tahoma"/>
              </w:rPr>
              <w:t>Adolescent girls and young women can request and receive sanitary pads.</w:t>
            </w:r>
            <w:r w:rsidRPr="00E45EC4">
              <w:rPr>
                <w:rStyle w:val="FootnoteReference"/>
                <w:rFonts w:ascii="Tahoma" w:eastAsia="Times New Roman" w:hAnsi="Tahoma" w:cs="Tahoma"/>
              </w:rPr>
              <w:footnoteReference w:id="22"/>
            </w:r>
          </w:p>
        </w:tc>
        <w:tc>
          <w:tcPr>
            <w:tcW w:w="639" w:type="dxa"/>
          </w:tcPr>
          <w:p w14:paraId="60F92EB3" w14:textId="77777777" w:rsidR="00E45EC4" w:rsidRPr="00B45121" w:rsidRDefault="00E45EC4" w:rsidP="00B45121">
            <w:pPr>
              <w:ind w:left="360"/>
              <w:jc w:val="both"/>
              <w:rPr>
                <w:rFonts w:ascii="Tahoma" w:eastAsia="Times New Roman" w:hAnsi="Tahoma" w:cs="Tahoma"/>
              </w:rPr>
            </w:pPr>
          </w:p>
        </w:tc>
        <w:tc>
          <w:tcPr>
            <w:tcW w:w="555" w:type="dxa"/>
          </w:tcPr>
          <w:p w14:paraId="52816B08" w14:textId="77777777" w:rsidR="00E45EC4" w:rsidRPr="00B45121" w:rsidRDefault="00E45EC4" w:rsidP="00B45121">
            <w:pPr>
              <w:ind w:left="360"/>
              <w:jc w:val="both"/>
              <w:rPr>
                <w:rFonts w:ascii="Tahoma" w:eastAsia="Times New Roman" w:hAnsi="Tahoma" w:cs="Tahoma"/>
              </w:rPr>
            </w:pPr>
          </w:p>
        </w:tc>
        <w:tc>
          <w:tcPr>
            <w:tcW w:w="4265" w:type="dxa"/>
          </w:tcPr>
          <w:p w14:paraId="49F40239" w14:textId="77777777" w:rsidR="00E45EC4" w:rsidRPr="00B45121" w:rsidRDefault="00E45EC4" w:rsidP="00B45121">
            <w:pPr>
              <w:ind w:left="360"/>
              <w:jc w:val="both"/>
              <w:rPr>
                <w:rFonts w:ascii="Tahoma" w:eastAsia="Times New Roman" w:hAnsi="Tahoma" w:cs="Tahoma"/>
              </w:rPr>
            </w:pPr>
          </w:p>
        </w:tc>
      </w:tr>
      <w:tr w:rsidR="00E45EC4" w:rsidRPr="00E45EC4" w14:paraId="7EBF4C1A" w14:textId="77777777" w:rsidTr="00B45121">
        <w:tc>
          <w:tcPr>
            <w:tcW w:w="3557" w:type="dxa"/>
          </w:tcPr>
          <w:p w14:paraId="5469C009" w14:textId="77777777" w:rsidR="00E45EC4" w:rsidRPr="00E45EC4" w:rsidRDefault="00E45EC4" w:rsidP="00E45EC4">
            <w:pPr>
              <w:pStyle w:val="ListParagraph"/>
              <w:numPr>
                <w:ilvl w:val="0"/>
                <w:numId w:val="28"/>
              </w:numPr>
              <w:jc w:val="both"/>
              <w:rPr>
                <w:rFonts w:ascii="Tahoma" w:eastAsia="Times New Roman" w:hAnsi="Tahoma" w:cs="Tahoma"/>
                <w:lang w:eastAsia="en-ZW"/>
              </w:rPr>
            </w:pPr>
            <w:r w:rsidRPr="00E45EC4">
              <w:rPr>
                <w:rFonts w:ascii="Tahoma" w:eastAsia="Times New Roman" w:hAnsi="Tahoma" w:cs="Tahoma"/>
                <w:lang w:eastAsia="en-ZW"/>
              </w:rPr>
              <w:t>Menstrual hygiene management is an integral component in the country’s WASH programming to ensure access to basic sanitation.</w:t>
            </w:r>
          </w:p>
        </w:tc>
        <w:tc>
          <w:tcPr>
            <w:tcW w:w="639" w:type="dxa"/>
          </w:tcPr>
          <w:p w14:paraId="77F90B28" w14:textId="77777777" w:rsidR="00E45EC4" w:rsidRPr="00B45121" w:rsidRDefault="00E45EC4" w:rsidP="00B45121">
            <w:pPr>
              <w:ind w:left="360"/>
              <w:jc w:val="both"/>
              <w:rPr>
                <w:rFonts w:ascii="Tahoma" w:eastAsia="Times New Roman" w:hAnsi="Tahoma" w:cs="Tahoma"/>
                <w:lang w:eastAsia="en-ZW"/>
              </w:rPr>
            </w:pPr>
          </w:p>
        </w:tc>
        <w:tc>
          <w:tcPr>
            <w:tcW w:w="555" w:type="dxa"/>
          </w:tcPr>
          <w:p w14:paraId="282E0155" w14:textId="77777777" w:rsidR="00E45EC4" w:rsidRPr="00B45121" w:rsidRDefault="00E45EC4" w:rsidP="00B45121">
            <w:pPr>
              <w:ind w:left="360"/>
              <w:jc w:val="both"/>
              <w:rPr>
                <w:rFonts w:ascii="Tahoma" w:eastAsia="Times New Roman" w:hAnsi="Tahoma" w:cs="Tahoma"/>
                <w:lang w:eastAsia="en-ZW"/>
              </w:rPr>
            </w:pPr>
          </w:p>
        </w:tc>
        <w:tc>
          <w:tcPr>
            <w:tcW w:w="4265" w:type="dxa"/>
          </w:tcPr>
          <w:p w14:paraId="07F5E0D7" w14:textId="77777777" w:rsidR="00E45EC4" w:rsidRPr="00B45121" w:rsidRDefault="00E45EC4" w:rsidP="00B45121">
            <w:pPr>
              <w:ind w:left="360"/>
              <w:jc w:val="both"/>
              <w:rPr>
                <w:rFonts w:ascii="Tahoma" w:eastAsia="Times New Roman" w:hAnsi="Tahoma" w:cs="Tahoma"/>
                <w:lang w:eastAsia="en-ZW"/>
              </w:rPr>
            </w:pPr>
          </w:p>
        </w:tc>
      </w:tr>
      <w:tr w:rsidR="00E45EC4" w:rsidRPr="00E45EC4" w14:paraId="62547E7E" w14:textId="77777777" w:rsidTr="00B45121">
        <w:tc>
          <w:tcPr>
            <w:tcW w:w="3557" w:type="dxa"/>
          </w:tcPr>
          <w:p w14:paraId="0BD783E6" w14:textId="77777777" w:rsidR="00E45EC4" w:rsidRPr="00E45EC4" w:rsidRDefault="00E45EC4" w:rsidP="00E45EC4">
            <w:pPr>
              <w:pStyle w:val="ListParagraph"/>
              <w:numPr>
                <w:ilvl w:val="0"/>
                <w:numId w:val="28"/>
              </w:numPr>
              <w:jc w:val="both"/>
              <w:rPr>
                <w:rFonts w:ascii="Tahoma" w:eastAsia="Times New Roman" w:hAnsi="Tahoma" w:cs="Tahoma"/>
                <w:lang w:eastAsia="en-ZW"/>
              </w:rPr>
            </w:pPr>
            <w:r w:rsidRPr="00E45EC4">
              <w:rPr>
                <w:rFonts w:ascii="Tahoma" w:eastAsia="Times New Roman" w:hAnsi="Tahoma" w:cs="Tahoma"/>
                <w:lang w:eastAsia="en-ZW"/>
              </w:rPr>
              <w:t>Government prioritises investment in clean water and sanitation.</w:t>
            </w:r>
          </w:p>
        </w:tc>
        <w:tc>
          <w:tcPr>
            <w:tcW w:w="639" w:type="dxa"/>
          </w:tcPr>
          <w:p w14:paraId="65EBCB2B" w14:textId="77777777" w:rsidR="00E45EC4" w:rsidRPr="00B45121" w:rsidRDefault="00E45EC4" w:rsidP="00B45121">
            <w:pPr>
              <w:ind w:left="360"/>
              <w:jc w:val="both"/>
              <w:rPr>
                <w:rFonts w:ascii="Tahoma" w:eastAsia="Times New Roman" w:hAnsi="Tahoma" w:cs="Tahoma"/>
                <w:lang w:eastAsia="en-ZW"/>
              </w:rPr>
            </w:pPr>
          </w:p>
        </w:tc>
        <w:tc>
          <w:tcPr>
            <w:tcW w:w="555" w:type="dxa"/>
          </w:tcPr>
          <w:p w14:paraId="21DE2ECD" w14:textId="77777777" w:rsidR="00E45EC4" w:rsidRPr="00B45121" w:rsidRDefault="00E45EC4" w:rsidP="00B45121">
            <w:pPr>
              <w:ind w:left="360"/>
              <w:jc w:val="both"/>
              <w:rPr>
                <w:rFonts w:ascii="Tahoma" w:eastAsia="Times New Roman" w:hAnsi="Tahoma" w:cs="Tahoma"/>
                <w:lang w:eastAsia="en-ZW"/>
              </w:rPr>
            </w:pPr>
          </w:p>
        </w:tc>
        <w:tc>
          <w:tcPr>
            <w:tcW w:w="4265" w:type="dxa"/>
          </w:tcPr>
          <w:p w14:paraId="63B643D0" w14:textId="77777777" w:rsidR="00E45EC4" w:rsidRPr="00B45121" w:rsidRDefault="00E45EC4" w:rsidP="00B45121">
            <w:pPr>
              <w:ind w:left="360"/>
              <w:jc w:val="both"/>
              <w:rPr>
                <w:rFonts w:ascii="Tahoma" w:eastAsia="Times New Roman" w:hAnsi="Tahoma" w:cs="Tahoma"/>
                <w:lang w:eastAsia="en-ZW"/>
              </w:rPr>
            </w:pPr>
          </w:p>
        </w:tc>
      </w:tr>
      <w:tr w:rsidR="00E45EC4" w:rsidRPr="00E45EC4" w14:paraId="7C140ECA" w14:textId="77777777" w:rsidTr="00B45121">
        <w:tc>
          <w:tcPr>
            <w:tcW w:w="3557" w:type="dxa"/>
          </w:tcPr>
          <w:p w14:paraId="5E85923F" w14:textId="77777777" w:rsidR="00E45EC4" w:rsidRPr="00B45121" w:rsidRDefault="00E45EC4" w:rsidP="00B45121">
            <w:pPr>
              <w:jc w:val="both"/>
              <w:rPr>
                <w:rFonts w:ascii="Tahoma" w:hAnsi="Tahoma" w:cs="Tahoma"/>
                <w:b/>
                <w:bCs/>
                <w:lang w:val="en-US"/>
              </w:rPr>
            </w:pPr>
            <w:r w:rsidRPr="00B45121">
              <w:rPr>
                <w:rFonts w:ascii="Tahoma" w:hAnsi="Tahoma" w:cs="Tahoma"/>
                <w:b/>
                <w:bCs/>
                <w:lang w:val="en-US"/>
              </w:rPr>
              <w:t>Safe Abortion</w:t>
            </w:r>
            <w:r w:rsidRPr="00E45EC4">
              <w:rPr>
                <w:rStyle w:val="FootnoteReference"/>
                <w:rFonts w:ascii="Tahoma" w:hAnsi="Tahoma" w:cs="Tahoma"/>
                <w:b/>
                <w:bCs/>
                <w:lang w:val="en-US"/>
              </w:rPr>
              <w:footnoteReference w:id="23"/>
            </w:r>
          </w:p>
        </w:tc>
        <w:tc>
          <w:tcPr>
            <w:tcW w:w="639" w:type="dxa"/>
          </w:tcPr>
          <w:p w14:paraId="454858FF" w14:textId="77777777" w:rsidR="00E45EC4" w:rsidRPr="00E45EC4" w:rsidRDefault="00E45EC4" w:rsidP="005417B1">
            <w:pPr>
              <w:jc w:val="both"/>
              <w:rPr>
                <w:rFonts w:ascii="Tahoma" w:hAnsi="Tahoma" w:cs="Tahoma"/>
                <w:b/>
                <w:bCs/>
                <w:lang w:val="en-US"/>
              </w:rPr>
            </w:pPr>
          </w:p>
        </w:tc>
        <w:tc>
          <w:tcPr>
            <w:tcW w:w="555" w:type="dxa"/>
          </w:tcPr>
          <w:p w14:paraId="038B0DE0" w14:textId="77777777" w:rsidR="00E45EC4" w:rsidRPr="00E45EC4" w:rsidRDefault="00E45EC4" w:rsidP="005417B1">
            <w:pPr>
              <w:jc w:val="both"/>
              <w:rPr>
                <w:rFonts w:ascii="Tahoma" w:hAnsi="Tahoma" w:cs="Tahoma"/>
                <w:b/>
                <w:bCs/>
                <w:lang w:val="en-US"/>
              </w:rPr>
            </w:pPr>
          </w:p>
        </w:tc>
        <w:tc>
          <w:tcPr>
            <w:tcW w:w="4265" w:type="dxa"/>
          </w:tcPr>
          <w:p w14:paraId="089FF8AF" w14:textId="77777777" w:rsidR="00E45EC4" w:rsidRPr="00E45EC4" w:rsidRDefault="00E45EC4" w:rsidP="005417B1">
            <w:pPr>
              <w:jc w:val="both"/>
              <w:rPr>
                <w:rFonts w:ascii="Tahoma" w:hAnsi="Tahoma" w:cs="Tahoma"/>
                <w:b/>
                <w:bCs/>
                <w:lang w:val="en-US"/>
              </w:rPr>
            </w:pPr>
          </w:p>
        </w:tc>
      </w:tr>
      <w:tr w:rsidR="00E45EC4" w:rsidRPr="00E45EC4" w14:paraId="6F5E27E0" w14:textId="77777777" w:rsidTr="00B45121">
        <w:tc>
          <w:tcPr>
            <w:tcW w:w="3557" w:type="dxa"/>
          </w:tcPr>
          <w:p w14:paraId="28884495" w14:textId="77777777" w:rsidR="00E45EC4" w:rsidRPr="00E45EC4" w:rsidRDefault="00EA46EE" w:rsidP="00E45EC4">
            <w:pPr>
              <w:pStyle w:val="ListParagraph"/>
              <w:numPr>
                <w:ilvl w:val="0"/>
                <w:numId w:val="28"/>
              </w:numPr>
              <w:jc w:val="both"/>
              <w:rPr>
                <w:rFonts w:ascii="Tahoma" w:eastAsia="Times New Roman" w:hAnsi="Tahoma" w:cs="Tahoma"/>
                <w:lang w:eastAsia="en-ZW"/>
              </w:rPr>
            </w:pPr>
            <w:r>
              <w:rPr>
                <w:rFonts w:ascii="Tahoma" w:eastAsia="Times New Roman" w:hAnsi="Tahoma" w:cs="Tahoma"/>
                <w:lang w:eastAsia="en-ZW"/>
              </w:rPr>
              <w:t>E</w:t>
            </w:r>
            <w:r w:rsidR="00E45EC4" w:rsidRPr="00E45EC4">
              <w:rPr>
                <w:rFonts w:ascii="Tahoma" w:eastAsia="Times New Roman" w:hAnsi="Tahoma" w:cs="Tahoma"/>
                <w:lang w:eastAsia="en-ZW"/>
              </w:rPr>
              <w:t>very woman who is legally eligible has access to timely and safe abortion care.</w:t>
            </w:r>
          </w:p>
        </w:tc>
        <w:tc>
          <w:tcPr>
            <w:tcW w:w="639" w:type="dxa"/>
          </w:tcPr>
          <w:p w14:paraId="0EBBE2DF" w14:textId="77777777" w:rsidR="00E45EC4" w:rsidRPr="00B45121" w:rsidRDefault="00E45EC4" w:rsidP="00B45121">
            <w:pPr>
              <w:ind w:left="360"/>
              <w:jc w:val="both"/>
              <w:rPr>
                <w:rFonts w:ascii="Tahoma" w:eastAsia="Times New Roman" w:hAnsi="Tahoma" w:cs="Tahoma"/>
                <w:lang w:eastAsia="en-ZW"/>
              </w:rPr>
            </w:pPr>
          </w:p>
        </w:tc>
        <w:tc>
          <w:tcPr>
            <w:tcW w:w="555" w:type="dxa"/>
          </w:tcPr>
          <w:p w14:paraId="58FB3736" w14:textId="77777777" w:rsidR="00E45EC4" w:rsidRPr="00B45121" w:rsidRDefault="00E45EC4" w:rsidP="00B45121">
            <w:pPr>
              <w:ind w:left="360"/>
              <w:jc w:val="both"/>
              <w:rPr>
                <w:rFonts w:ascii="Tahoma" w:eastAsia="Times New Roman" w:hAnsi="Tahoma" w:cs="Tahoma"/>
                <w:lang w:eastAsia="en-ZW"/>
              </w:rPr>
            </w:pPr>
          </w:p>
        </w:tc>
        <w:tc>
          <w:tcPr>
            <w:tcW w:w="4265" w:type="dxa"/>
          </w:tcPr>
          <w:p w14:paraId="38820748" w14:textId="77777777" w:rsidR="00E45EC4" w:rsidRPr="00B45121" w:rsidRDefault="00E45EC4" w:rsidP="00B45121">
            <w:pPr>
              <w:ind w:left="360"/>
              <w:jc w:val="both"/>
              <w:rPr>
                <w:rFonts w:ascii="Tahoma" w:eastAsia="Times New Roman" w:hAnsi="Tahoma" w:cs="Tahoma"/>
                <w:lang w:eastAsia="en-ZW"/>
              </w:rPr>
            </w:pPr>
          </w:p>
        </w:tc>
      </w:tr>
      <w:tr w:rsidR="00E45EC4" w:rsidRPr="00E45EC4" w14:paraId="77C1F6E8" w14:textId="77777777" w:rsidTr="00B45121">
        <w:tc>
          <w:tcPr>
            <w:tcW w:w="3557" w:type="dxa"/>
          </w:tcPr>
          <w:p w14:paraId="0A2CAA99" w14:textId="77777777" w:rsidR="00E45EC4" w:rsidRPr="00E45EC4" w:rsidRDefault="00EA46EE" w:rsidP="00E45EC4">
            <w:pPr>
              <w:pStyle w:val="ListParagraph"/>
              <w:numPr>
                <w:ilvl w:val="0"/>
                <w:numId w:val="28"/>
              </w:numPr>
              <w:jc w:val="both"/>
              <w:rPr>
                <w:rFonts w:ascii="Tahoma" w:eastAsia="Times New Roman" w:hAnsi="Tahoma" w:cs="Tahoma"/>
                <w:lang w:eastAsia="en-ZW"/>
              </w:rPr>
            </w:pPr>
            <w:r>
              <w:rPr>
                <w:rFonts w:ascii="Tahoma" w:eastAsia="Times New Roman" w:hAnsi="Tahoma" w:cs="Tahoma"/>
                <w:lang w:eastAsia="en-ZW"/>
              </w:rPr>
              <w:t>T</w:t>
            </w:r>
            <w:r w:rsidR="00E45EC4" w:rsidRPr="00E45EC4">
              <w:rPr>
                <w:rFonts w:ascii="Tahoma" w:eastAsia="Times New Roman" w:hAnsi="Tahoma" w:cs="Tahoma"/>
                <w:lang w:eastAsia="en-ZW"/>
              </w:rPr>
              <w:t>here are no age restrictions for adolescents wishing to access safe abortion care</w:t>
            </w:r>
            <w:r w:rsidR="00E45EC4" w:rsidRPr="00E45EC4">
              <w:rPr>
                <w:rStyle w:val="FootnoteReference"/>
                <w:rFonts w:ascii="Tahoma" w:eastAsia="Times New Roman" w:hAnsi="Tahoma" w:cs="Tahoma"/>
                <w:lang w:eastAsia="en-ZW"/>
              </w:rPr>
              <w:footnoteReference w:id="24"/>
            </w:r>
          </w:p>
        </w:tc>
        <w:tc>
          <w:tcPr>
            <w:tcW w:w="639" w:type="dxa"/>
          </w:tcPr>
          <w:p w14:paraId="6E996A8C" w14:textId="77777777" w:rsidR="00E45EC4" w:rsidRPr="00B45121" w:rsidRDefault="00E45EC4" w:rsidP="00B45121">
            <w:pPr>
              <w:ind w:left="360"/>
              <w:jc w:val="both"/>
              <w:rPr>
                <w:rFonts w:ascii="Tahoma" w:eastAsia="Times New Roman" w:hAnsi="Tahoma" w:cs="Tahoma"/>
                <w:lang w:eastAsia="en-ZW"/>
              </w:rPr>
            </w:pPr>
          </w:p>
        </w:tc>
        <w:tc>
          <w:tcPr>
            <w:tcW w:w="555" w:type="dxa"/>
          </w:tcPr>
          <w:p w14:paraId="0E997B31" w14:textId="77777777" w:rsidR="00E45EC4" w:rsidRPr="00B45121" w:rsidRDefault="00E45EC4" w:rsidP="00B45121">
            <w:pPr>
              <w:ind w:left="360"/>
              <w:jc w:val="both"/>
              <w:rPr>
                <w:rFonts w:ascii="Tahoma" w:eastAsia="Times New Roman" w:hAnsi="Tahoma" w:cs="Tahoma"/>
                <w:lang w:eastAsia="en-ZW"/>
              </w:rPr>
            </w:pPr>
          </w:p>
        </w:tc>
        <w:tc>
          <w:tcPr>
            <w:tcW w:w="4265" w:type="dxa"/>
          </w:tcPr>
          <w:p w14:paraId="3117C3DE" w14:textId="77777777" w:rsidR="00E45EC4" w:rsidRPr="00B45121" w:rsidRDefault="00E45EC4" w:rsidP="00B45121">
            <w:pPr>
              <w:ind w:left="360"/>
              <w:jc w:val="both"/>
              <w:rPr>
                <w:rFonts w:ascii="Tahoma" w:eastAsia="Times New Roman" w:hAnsi="Tahoma" w:cs="Tahoma"/>
                <w:lang w:eastAsia="en-ZW"/>
              </w:rPr>
            </w:pPr>
          </w:p>
        </w:tc>
      </w:tr>
      <w:tr w:rsidR="00E45EC4" w:rsidRPr="00E45EC4" w14:paraId="270D4D27" w14:textId="77777777" w:rsidTr="00B45121">
        <w:tc>
          <w:tcPr>
            <w:tcW w:w="3557" w:type="dxa"/>
          </w:tcPr>
          <w:p w14:paraId="672A2B9F" w14:textId="77777777" w:rsidR="00E45EC4" w:rsidRPr="00E45EC4" w:rsidRDefault="00E45EC4" w:rsidP="00E45EC4">
            <w:pPr>
              <w:pStyle w:val="ListParagraph"/>
              <w:numPr>
                <w:ilvl w:val="0"/>
                <w:numId w:val="28"/>
              </w:numPr>
              <w:jc w:val="both"/>
              <w:rPr>
                <w:rFonts w:ascii="Tahoma" w:eastAsia="Times New Roman" w:hAnsi="Tahoma" w:cs="Tahoma"/>
                <w:lang w:eastAsia="en-ZW"/>
              </w:rPr>
            </w:pPr>
            <w:r w:rsidRPr="00E45EC4">
              <w:rPr>
                <w:rFonts w:ascii="Tahoma" w:eastAsia="Times New Roman" w:hAnsi="Tahoma" w:cs="Tahoma"/>
                <w:lang w:eastAsia="en-ZW"/>
              </w:rPr>
              <w:t>There are national guidelines for pre and post abortion care for adolescents, including during the Covid-19 pandemic period.</w:t>
            </w:r>
          </w:p>
        </w:tc>
        <w:tc>
          <w:tcPr>
            <w:tcW w:w="639" w:type="dxa"/>
          </w:tcPr>
          <w:p w14:paraId="57D87104" w14:textId="77777777" w:rsidR="00E45EC4" w:rsidRPr="00B45121" w:rsidRDefault="00E45EC4" w:rsidP="00B45121">
            <w:pPr>
              <w:ind w:left="360"/>
              <w:jc w:val="both"/>
              <w:rPr>
                <w:rFonts w:ascii="Tahoma" w:eastAsia="Times New Roman" w:hAnsi="Tahoma" w:cs="Tahoma"/>
                <w:lang w:eastAsia="en-ZW"/>
              </w:rPr>
            </w:pPr>
          </w:p>
        </w:tc>
        <w:tc>
          <w:tcPr>
            <w:tcW w:w="555" w:type="dxa"/>
          </w:tcPr>
          <w:p w14:paraId="257482C4" w14:textId="77777777" w:rsidR="00E45EC4" w:rsidRPr="00B45121" w:rsidRDefault="00E45EC4" w:rsidP="00B45121">
            <w:pPr>
              <w:ind w:left="360"/>
              <w:jc w:val="both"/>
              <w:rPr>
                <w:rFonts w:ascii="Tahoma" w:eastAsia="Times New Roman" w:hAnsi="Tahoma" w:cs="Tahoma"/>
                <w:lang w:eastAsia="en-ZW"/>
              </w:rPr>
            </w:pPr>
          </w:p>
        </w:tc>
        <w:tc>
          <w:tcPr>
            <w:tcW w:w="4265" w:type="dxa"/>
          </w:tcPr>
          <w:p w14:paraId="01C96AA8" w14:textId="77777777" w:rsidR="00E45EC4" w:rsidRPr="00B45121" w:rsidRDefault="00E45EC4" w:rsidP="00B45121">
            <w:pPr>
              <w:ind w:left="360"/>
              <w:jc w:val="both"/>
              <w:rPr>
                <w:rFonts w:ascii="Tahoma" w:eastAsia="Times New Roman" w:hAnsi="Tahoma" w:cs="Tahoma"/>
                <w:lang w:eastAsia="en-ZW"/>
              </w:rPr>
            </w:pPr>
          </w:p>
        </w:tc>
      </w:tr>
      <w:tr w:rsidR="00E45EC4" w:rsidRPr="00E45EC4" w14:paraId="2A1F5146" w14:textId="77777777" w:rsidTr="00B45121">
        <w:tc>
          <w:tcPr>
            <w:tcW w:w="3557" w:type="dxa"/>
          </w:tcPr>
          <w:p w14:paraId="4455ABC2" w14:textId="77777777" w:rsidR="00E45EC4" w:rsidRPr="00E45EC4" w:rsidRDefault="00E45EC4" w:rsidP="00E45EC4">
            <w:pPr>
              <w:pStyle w:val="ListParagraph"/>
              <w:numPr>
                <w:ilvl w:val="0"/>
                <w:numId w:val="28"/>
              </w:numPr>
              <w:jc w:val="both"/>
              <w:rPr>
                <w:rFonts w:ascii="Tahoma" w:hAnsi="Tahoma" w:cs="Tahoma"/>
                <w:lang w:val="en-US"/>
              </w:rPr>
            </w:pPr>
            <w:r w:rsidRPr="00E45EC4">
              <w:rPr>
                <w:rFonts w:ascii="Tahoma" w:eastAsia="Times New Roman" w:hAnsi="Tahoma" w:cs="Tahoma"/>
                <w:lang w:eastAsia="en-ZW"/>
              </w:rPr>
              <w:t>Contraception is included in post abortion care during the Covid-19 pandemic period</w:t>
            </w:r>
            <w:r w:rsidRPr="00E45EC4">
              <w:rPr>
                <w:rStyle w:val="FootnoteReference"/>
                <w:rFonts w:ascii="Tahoma" w:eastAsia="Times New Roman" w:hAnsi="Tahoma" w:cs="Tahoma"/>
                <w:lang w:eastAsia="en-ZW"/>
              </w:rPr>
              <w:footnoteReference w:id="25"/>
            </w:r>
            <w:r w:rsidRPr="00E45EC4">
              <w:rPr>
                <w:rFonts w:ascii="Tahoma" w:eastAsia="Times New Roman" w:hAnsi="Tahoma" w:cs="Tahoma"/>
                <w:lang w:eastAsia="en-ZW"/>
              </w:rPr>
              <w:t>.</w:t>
            </w:r>
          </w:p>
        </w:tc>
        <w:tc>
          <w:tcPr>
            <w:tcW w:w="639" w:type="dxa"/>
          </w:tcPr>
          <w:p w14:paraId="25AB131C" w14:textId="77777777" w:rsidR="00E45EC4" w:rsidRPr="00B45121" w:rsidRDefault="00E45EC4" w:rsidP="00B45121">
            <w:pPr>
              <w:ind w:left="360"/>
              <w:jc w:val="both"/>
              <w:rPr>
                <w:rFonts w:ascii="Tahoma" w:eastAsia="Times New Roman" w:hAnsi="Tahoma" w:cs="Tahoma"/>
                <w:lang w:eastAsia="en-ZW"/>
              </w:rPr>
            </w:pPr>
          </w:p>
        </w:tc>
        <w:tc>
          <w:tcPr>
            <w:tcW w:w="555" w:type="dxa"/>
          </w:tcPr>
          <w:p w14:paraId="2F08E6A6" w14:textId="77777777" w:rsidR="00E45EC4" w:rsidRPr="00B45121" w:rsidRDefault="00E45EC4" w:rsidP="00B45121">
            <w:pPr>
              <w:ind w:left="360"/>
              <w:jc w:val="both"/>
              <w:rPr>
                <w:rFonts w:ascii="Tahoma" w:eastAsia="Times New Roman" w:hAnsi="Tahoma" w:cs="Tahoma"/>
                <w:lang w:eastAsia="en-ZW"/>
              </w:rPr>
            </w:pPr>
          </w:p>
        </w:tc>
        <w:tc>
          <w:tcPr>
            <w:tcW w:w="4265" w:type="dxa"/>
          </w:tcPr>
          <w:p w14:paraId="0385411B" w14:textId="77777777" w:rsidR="00E45EC4" w:rsidRPr="00B45121" w:rsidRDefault="00E45EC4" w:rsidP="00B45121">
            <w:pPr>
              <w:ind w:left="360"/>
              <w:jc w:val="both"/>
              <w:rPr>
                <w:rFonts w:ascii="Tahoma" w:eastAsia="Times New Roman" w:hAnsi="Tahoma" w:cs="Tahoma"/>
                <w:lang w:eastAsia="en-ZW"/>
              </w:rPr>
            </w:pPr>
          </w:p>
        </w:tc>
      </w:tr>
      <w:tr w:rsidR="00E45EC4" w:rsidRPr="00E45EC4" w14:paraId="140F9558" w14:textId="77777777" w:rsidTr="00B45121">
        <w:tc>
          <w:tcPr>
            <w:tcW w:w="3557" w:type="dxa"/>
          </w:tcPr>
          <w:p w14:paraId="0E7DA135"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Ensure adolescents have access to post-abortion care as a life-saving medical intervention, regardless of whether the abortion or attempted abortion was legal.</w:t>
            </w:r>
            <w:r w:rsidRPr="00E45EC4" w:rsidDel="00D97D03">
              <w:rPr>
                <w:rFonts w:ascii="Tahoma" w:hAnsi="Tahoma" w:cs="Tahoma"/>
              </w:rPr>
              <w:t xml:space="preserve"> </w:t>
            </w:r>
          </w:p>
        </w:tc>
        <w:tc>
          <w:tcPr>
            <w:tcW w:w="639" w:type="dxa"/>
          </w:tcPr>
          <w:p w14:paraId="049E1944" w14:textId="77777777" w:rsidR="00E45EC4" w:rsidRPr="00B45121" w:rsidRDefault="00E45EC4" w:rsidP="00B45121">
            <w:pPr>
              <w:ind w:left="360"/>
              <w:jc w:val="both"/>
              <w:rPr>
                <w:rFonts w:ascii="Tahoma" w:hAnsi="Tahoma" w:cs="Tahoma"/>
              </w:rPr>
            </w:pPr>
          </w:p>
        </w:tc>
        <w:tc>
          <w:tcPr>
            <w:tcW w:w="555" w:type="dxa"/>
          </w:tcPr>
          <w:p w14:paraId="403C0338" w14:textId="77777777" w:rsidR="00E45EC4" w:rsidRPr="00B45121" w:rsidRDefault="00E45EC4" w:rsidP="00B45121">
            <w:pPr>
              <w:ind w:left="360"/>
              <w:jc w:val="both"/>
              <w:rPr>
                <w:rFonts w:ascii="Tahoma" w:hAnsi="Tahoma" w:cs="Tahoma"/>
              </w:rPr>
            </w:pPr>
          </w:p>
        </w:tc>
        <w:tc>
          <w:tcPr>
            <w:tcW w:w="4265" w:type="dxa"/>
          </w:tcPr>
          <w:p w14:paraId="59545A0D" w14:textId="77777777" w:rsidR="00E45EC4" w:rsidRPr="00B45121" w:rsidRDefault="00E45EC4" w:rsidP="00B45121">
            <w:pPr>
              <w:ind w:left="360"/>
              <w:jc w:val="both"/>
              <w:rPr>
                <w:rFonts w:ascii="Tahoma" w:hAnsi="Tahoma" w:cs="Tahoma"/>
              </w:rPr>
            </w:pPr>
          </w:p>
        </w:tc>
      </w:tr>
      <w:tr w:rsidR="00E45EC4" w:rsidRPr="00E45EC4" w14:paraId="5FF553E0" w14:textId="77777777" w:rsidTr="00B45121">
        <w:tc>
          <w:tcPr>
            <w:tcW w:w="3557" w:type="dxa"/>
          </w:tcPr>
          <w:p w14:paraId="34E104AC"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hAnsi="Tahoma" w:cs="Tahoma"/>
              </w:rPr>
              <w:t>There are strategies to identify and overcome barriers to the provision of safe abortion services for adolescent girls.</w:t>
            </w:r>
            <w:r w:rsidRPr="00E45EC4" w:rsidDel="00E429EC">
              <w:rPr>
                <w:rFonts w:ascii="Tahoma" w:hAnsi="Tahoma" w:cs="Tahoma"/>
              </w:rPr>
              <w:t xml:space="preserve"> </w:t>
            </w:r>
          </w:p>
        </w:tc>
        <w:tc>
          <w:tcPr>
            <w:tcW w:w="639" w:type="dxa"/>
          </w:tcPr>
          <w:p w14:paraId="377CFAB3"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50AA720E"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35E65270" w14:textId="77777777" w:rsidR="00E45EC4" w:rsidRPr="00B45121" w:rsidRDefault="00E45EC4" w:rsidP="00B45121">
            <w:pPr>
              <w:autoSpaceDE w:val="0"/>
              <w:autoSpaceDN w:val="0"/>
              <w:adjustRightInd w:val="0"/>
              <w:ind w:left="360"/>
              <w:jc w:val="both"/>
              <w:rPr>
                <w:rFonts w:ascii="Tahoma" w:hAnsi="Tahoma" w:cs="Tahoma"/>
              </w:rPr>
            </w:pPr>
          </w:p>
        </w:tc>
      </w:tr>
      <w:tr w:rsidR="00E45EC4" w:rsidRPr="00E45EC4" w14:paraId="6E9A95EA" w14:textId="77777777" w:rsidTr="00B45121">
        <w:tc>
          <w:tcPr>
            <w:tcW w:w="3557" w:type="dxa"/>
          </w:tcPr>
          <w:p w14:paraId="619F9343" w14:textId="77777777" w:rsidR="00E45EC4" w:rsidRPr="00E45EC4" w:rsidRDefault="00E45EC4" w:rsidP="00E45EC4">
            <w:pPr>
              <w:pStyle w:val="ListParagraph"/>
              <w:numPr>
                <w:ilvl w:val="0"/>
                <w:numId w:val="28"/>
              </w:numPr>
              <w:autoSpaceDE w:val="0"/>
              <w:autoSpaceDN w:val="0"/>
              <w:adjustRightInd w:val="0"/>
              <w:jc w:val="both"/>
              <w:rPr>
                <w:rFonts w:ascii="Tahoma" w:eastAsia="Times New Roman" w:hAnsi="Tahoma" w:cs="Tahoma"/>
                <w:lang w:eastAsia="en-ZW"/>
              </w:rPr>
            </w:pPr>
            <w:r w:rsidRPr="00E45EC4">
              <w:rPr>
                <w:rFonts w:ascii="Tahoma" w:hAnsi="Tahoma" w:cs="Tahoma"/>
              </w:rPr>
              <w:t>Ensure that abortion services are non-judgemental, free of coercion, and respect adolescents’ informed and voluntary decision-making, autonomy, confidentiality and privacy to terminate an unwanted, mistimed or unplanned pregnancy.</w:t>
            </w:r>
          </w:p>
        </w:tc>
        <w:tc>
          <w:tcPr>
            <w:tcW w:w="639" w:type="dxa"/>
          </w:tcPr>
          <w:p w14:paraId="41E157D8"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7CF3BF86"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2E077184" w14:textId="77777777" w:rsidR="00E45EC4" w:rsidRPr="00B45121" w:rsidRDefault="00E45EC4" w:rsidP="00B45121">
            <w:pPr>
              <w:autoSpaceDE w:val="0"/>
              <w:autoSpaceDN w:val="0"/>
              <w:adjustRightInd w:val="0"/>
              <w:ind w:left="360"/>
              <w:jc w:val="both"/>
              <w:rPr>
                <w:rFonts w:ascii="Tahoma" w:hAnsi="Tahoma" w:cs="Tahoma"/>
              </w:rPr>
            </w:pPr>
          </w:p>
        </w:tc>
      </w:tr>
      <w:tr w:rsidR="00E45EC4" w:rsidRPr="00E45EC4" w14:paraId="55E0B668" w14:textId="77777777" w:rsidTr="00B45121">
        <w:tc>
          <w:tcPr>
            <w:tcW w:w="3557" w:type="dxa"/>
            <w:shd w:val="clear" w:color="auto" w:fill="BFBFBF" w:themeFill="background1" w:themeFillShade="BF"/>
          </w:tcPr>
          <w:p w14:paraId="3B761E5B" w14:textId="77777777" w:rsidR="00E45EC4" w:rsidRPr="00E45EC4" w:rsidRDefault="00E45EC4" w:rsidP="00B45121">
            <w:pPr>
              <w:jc w:val="both"/>
            </w:pPr>
            <w:r w:rsidRPr="00B45121">
              <w:rPr>
                <w:rFonts w:ascii="Tahoma" w:hAnsi="Tahoma" w:cs="Tahoma"/>
                <w:b/>
                <w:bCs/>
                <w:lang w:val="en-US"/>
              </w:rPr>
              <w:t>HIV and AIDS</w:t>
            </w:r>
            <w:r w:rsidRPr="00E45EC4">
              <w:rPr>
                <w:rStyle w:val="FootnoteReference"/>
                <w:rFonts w:ascii="Tahoma" w:hAnsi="Tahoma" w:cs="Tahoma"/>
                <w:b/>
                <w:bCs/>
                <w:lang w:val="en-US"/>
              </w:rPr>
              <w:footnoteReference w:id="26"/>
            </w:r>
          </w:p>
        </w:tc>
        <w:tc>
          <w:tcPr>
            <w:tcW w:w="639" w:type="dxa"/>
            <w:shd w:val="clear" w:color="auto" w:fill="BFBFBF" w:themeFill="background1" w:themeFillShade="BF"/>
          </w:tcPr>
          <w:p w14:paraId="3D7755B6" w14:textId="77777777" w:rsidR="00E45EC4" w:rsidRPr="00E45EC4" w:rsidRDefault="00E45EC4" w:rsidP="005417B1">
            <w:pPr>
              <w:jc w:val="both"/>
              <w:rPr>
                <w:rFonts w:ascii="Tahoma" w:hAnsi="Tahoma" w:cs="Tahoma"/>
                <w:b/>
                <w:bCs/>
                <w:lang w:val="en-US"/>
              </w:rPr>
            </w:pPr>
          </w:p>
        </w:tc>
        <w:tc>
          <w:tcPr>
            <w:tcW w:w="555" w:type="dxa"/>
            <w:shd w:val="clear" w:color="auto" w:fill="BFBFBF" w:themeFill="background1" w:themeFillShade="BF"/>
          </w:tcPr>
          <w:p w14:paraId="261FF9FD" w14:textId="77777777" w:rsidR="00E45EC4" w:rsidRPr="00E45EC4" w:rsidRDefault="00E45EC4" w:rsidP="005417B1">
            <w:pPr>
              <w:jc w:val="both"/>
              <w:rPr>
                <w:rFonts w:ascii="Tahoma" w:hAnsi="Tahoma" w:cs="Tahoma"/>
                <w:b/>
                <w:bCs/>
                <w:lang w:val="en-US"/>
              </w:rPr>
            </w:pPr>
          </w:p>
        </w:tc>
        <w:tc>
          <w:tcPr>
            <w:tcW w:w="4265" w:type="dxa"/>
            <w:shd w:val="clear" w:color="auto" w:fill="BFBFBF" w:themeFill="background1" w:themeFillShade="BF"/>
          </w:tcPr>
          <w:p w14:paraId="33C634B4" w14:textId="77777777" w:rsidR="00E45EC4" w:rsidRPr="00E45EC4" w:rsidRDefault="00E45EC4" w:rsidP="005417B1">
            <w:pPr>
              <w:jc w:val="both"/>
              <w:rPr>
                <w:rFonts w:ascii="Tahoma" w:hAnsi="Tahoma" w:cs="Tahoma"/>
                <w:b/>
                <w:bCs/>
                <w:lang w:val="en-US"/>
              </w:rPr>
            </w:pPr>
          </w:p>
        </w:tc>
      </w:tr>
      <w:tr w:rsidR="00E45EC4" w:rsidRPr="00E45EC4" w14:paraId="4DAA0AA8" w14:textId="77777777" w:rsidTr="00B45121">
        <w:tc>
          <w:tcPr>
            <w:tcW w:w="3557" w:type="dxa"/>
          </w:tcPr>
          <w:p w14:paraId="28C28588"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hAnsi="Tahoma" w:cs="Tahoma"/>
              </w:rPr>
              <w:t xml:space="preserve">There is provision of CSE, promotion and distribution of condoms, HIV testing and counselling services, pre-exposure prophylaxis (PreP), voluntary medical male circumcision for risk reduction, harm reduction for people who inject drugs, and targeted prevention programmes for young sex workers and other key populations at high risk of HIV acquisition. </w:t>
            </w:r>
          </w:p>
        </w:tc>
        <w:tc>
          <w:tcPr>
            <w:tcW w:w="639" w:type="dxa"/>
          </w:tcPr>
          <w:p w14:paraId="49896C67"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38107586"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6A7961CE" w14:textId="77777777" w:rsidR="00E45EC4" w:rsidRPr="00B45121" w:rsidRDefault="00E45EC4" w:rsidP="00B45121">
            <w:pPr>
              <w:autoSpaceDE w:val="0"/>
              <w:autoSpaceDN w:val="0"/>
              <w:adjustRightInd w:val="0"/>
              <w:ind w:left="360"/>
              <w:jc w:val="both"/>
              <w:rPr>
                <w:rFonts w:ascii="Tahoma" w:hAnsi="Tahoma" w:cs="Tahoma"/>
              </w:rPr>
            </w:pPr>
          </w:p>
        </w:tc>
      </w:tr>
      <w:tr w:rsidR="00E45EC4" w:rsidRPr="00E45EC4" w14:paraId="2C8E9FF8" w14:textId="77777777" w:rsidTr="00B45121">
        <w:tc>
          <w:tcPr>
            <w:tcW w:w="3557" w:type="dxa"/>
          </w:tcPr>
          <w:p w14:paraId="0F679B50"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eastAsia="Times New Roman" w:hAnsi="Tahoma" w:cs="Tahoma"/>
              </w:rPr>
              <w:t xml:space="preserve">Health workers </w:t>
            </w:r>
            <w:r w:rsidRPr="00E45EC4">
              <w:rPr>
                <w:rFonts w:ascii="Tahoma" w:hAnsi="Tahoma" w:cs="Tahoma"/>
              </w:rPr>
              <w:t>ensure that such A</w:t>
            </w:r>
            <w:r w:rsidRPr="00E45EC4">
              <w:rPr>
                <w:rFonts w:ascii="Tahoma" w:eastAsia="Times New Roman" w:hAnsi="Tahoma" w:cs="Tahoma"/>
              </w:rPr>
              <w:t xml:space="preserve">SRHR and HIV services </w:t>
            </w:r>
            <w:r w:rsidRPr="00E45EC4">
              <w:rPr>
                <w:rFonts w:ascii="Tahoma" w:hAnsi="Tahoma" w:cs="Tahoma"/>
              </w:rPr>
              <w:t>are free, confidential, adolescent-responsive and non-discriminatory.</w:t>
            </w:r>
          </w:p>
        </w:tc>
        <w:tc>
          <w:tcPr>
            <w:tcW w:w="639" w:type="dxa"/>
          </w:tcPr>
          <w:p w14:paraId="14BDFC18" w14:textId="77777777" w:rsidR="00E45EC4" w:rsidRPr="00B45121" w:rsidRDefault="00E45EC4" w:rsidP="00B45121">
            <w:pPr>
              <w:autoSpaceDE w:val="0"/>
              <w:autoSpaceDN w:val="0"/>
              <w:adjustRightInd w:val="0"/>
              <w:ind w:left="360"/>
              <w:jc w:val="both"/>
              <w:rPr>
                <w:rFonts w:ascii="Tahoma" w:eastAsia="Times New Roman" w:hAnsi="Tahoma" w:cs="Tahoma"/>
              </w:rPr>
            </w:pPr>
          </w:p>
        </w:tc>
        <w:tc>
          <w:tcPr>
            <w:tcW w:w="555" w:type="dxa"/>
          </w:tcPr>
          <w:p w14:paraId="577CE8C1" w14:textId="77777777" w:rsidR="00E45EC4" w:rsidRPr="00B45121" w:rsidRDefault="00E45EC4" w:rsidP="00B45121">
            <w:pPr>
              <w:autoSpaceDE w:val="0"/>
              <w:autoSpaceDN w:val="0"/>
              <w:adjustRightInd w:val="0"/>
              <w:ind w:left="360"/>
              <w:jc w:val="both"/>
              <w:rPr>
                <w:rFonts w:ascii="Tahoma" w:eastAsia="Times New Roman" w:hAnsi="Tahoma" w:cs="Tahoma"/>
              </w:rPr>
            </w:pPr>
          </w:p>
        </w:tc>
        <w:tc>
          <w:tcPr>
            <w:tcW w:w="4265" w:type="dxa"/>
          </w:tcPr>
          <w:p w14:paraId="6DFA0B41" w14:textId="77777777" w:rsidR="00E45EC4" w:rsidRPr="00B45121" w:rsidRDefault="00E45EC4" w:rsidP="00B45121">
            <w:pPr>
              <w:autoSpaceDE w:val="0"/>
              <w:autoSpaceDN w:val="0"/>
              <w:adjustRightInd w:val="0"/>
              <w:ind w:left="360"/>
              <w:jc w:val="both"/>
              <w:rPr>
                <w:rFonts w:ascii="Tahoma" w:eastAsia="Times New Roman" w:hAnsi="Tahoma" w:cs="Tahoma"/>
              </w:rPr>
            </w:pPr>
          </w:p>
        </w:tc>
      </w:tr>
      <w:tr w:rsidR="00E45EC4" w:rsidRPr="00E45EC4" w14:paraId="5F3C2208" w14:textId="77777777" w:rsidTr="00B45121">
        <w:tc>
          <w:tcPr>
            <w:tcW w:w="3557" w:type="dxa"/>
          </w:tcPr>
          <w:p w14:paraId="769BC189"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hAnsi="Tahoma" w:cs="Tahoma"/>
              </w:rPr>
              <w:t>Health system ensures that care and treatment of STIs is part of sexual and reproductive health services, and is accessible to adolescents, regardless of marital status.</w:t>
            </w:r>
          </w:p>
        </w:tc>
        <w:tc>
          <w:tcPr>
            <w:tcW w:w="639" w:type="dxa"/>
          </w:tcPr>
          <w:p w14:paraId="505C99CF"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0B85698D"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182F076A" w14:textId="77777777" w:rsidR="00E45EC4" w:rsidRPr="00B45121" w:rsidRDefault="00E45EC4" w:rsidP="00B45121">
            <w:pPr>
              <w:autoSpaceDE w:val="0"/>
              <w:autoSpaceDN w:val="0"/>
              <w:adjustRightInd w:val="0"/>
              <w:ind w:left="360"/>
              <w:jc w:val="both"/>
              <w:rPr>
                <w:rFonts w:ascii="Tahoma" w:hAnsi="Tahoma" w:cs="Tahoma"/>
              </w:rPr>
            </w:pPr>
          </w:p>
        </w:tc>
      </w:tr>
      <w:tr w:rsidR="00E45EC4" w:rsidRPr="00E45EC4" w14:paraId="0D1F36FF" w14:textId="77777777" w:rsidTr="00B45121">
        <w:tc>
          <w:tcPr>
            <w:tcW w:w="3557" w:type="dxa"/>
          </w:tcPr>
          <w:p w14:paraId="20F27369" w14:textId="77777777" w:rsidR="00E45EC4" w:rsidRPr="00E45EC4" w:rsidRDefault="00E45EC4" w:rsidP="00E45EC4">
            <w:pPr>
              <w:pStyle w:val="ListParagraph"/>
              <w:numPr>
                <w:ilvl w:val="0"/>
                <w:numId w:val="28"/>
              </w:numPr>
              <w:contextualSpacing w:val="0"/>
              <w:jc w:val="both"/>
              <w:rPr>
                <w:rFonts w:ascii="Tahoma" w:hAnsi="Tahoma" w:cs="Tahoma"/>
              </w:rPr>
            </w:pPr>
            <w:r w:rsidRPr="00E45EC4">
              <w:rPr>
                <w:rFonts w:ascii="Tahoma" w:hAnsi="Tahoma" w:cs="Tahoma"/>
              </w:rPr>
              <w:t>Adolescents are informed on risky sexual behaviours, such as early sexual debut, intergenerational sex and multiple concurrent partners t</w:t>
            </w:r>
            <w:r w:rsidRPr="00E45EC4">
              <w:rPr>
                <w:rFonts w:ascii="Tahoma" w:eastAsia="Times New Roman" w:hAnsi="Tahoma" w:cs="Tahoma"/>
              </w:rPr>
              <w:t>o ensure comprehensive knowledge of HIV and AIDS.</w:t>
            </w:r>
          </w:p>
        </w:tc>
        <w:tc>
          <w:tcPr>
            <w:tcW w:w="639" w:type="dxa"/>
          </w:tcPr>
          <w:p w14:paraId="10424935" w14:textId="77777777" w:rsidR="00E45EC4" w:rsidRPr="00B45121" w:rsidRDefault="00E45EC4" w:rsidP="00B45121">
            <w:pPr>
              <w:ind w:left="360"/>
              <w:jc w:val="both"/>
              <w:rPr>
                <w:rFonts w:ascii="Tahoma" w:hAnsi="Tahoma" w:cs="Tahoma"/>
              </w:rPr>
            </w:pPr>
          </w:p>
        </w:tc>
        <w:tc>
          <w:tcPr>
            <w:tcW w:w="555" w:type="dxa"/>
          </w:tcPr>
          <w:p w14:paraId="59FF235C" w14:textId="77777777" w:rsidR="00E45EC4" w:rsidRPr="00B45121" w:rsidRDefault="00E45EC4" w:rsidP="00B45121">
            <w:pPr>
              <w:ind w:left="360"/>
              <w:jc w:val="both"/>
              <w:rPr>
                <w:rFonts w:ascii="Tahoma" w:hAnsi="Tahoma" w:cs="Tahoma"/>
              </w:rPr>
            </w:pPr>
          </w:p>
        </w:tc>
        <w:tc>
          <w:tcPr>
            <w:tcW w:w="4265" w:type="dxa"/>
          </w:tcPr>
          <w:p w14:paraId="2BFC679A" w14:textId="77777777" w:rsidR="00E45EC4" w:rsidRPr="00B45121" w:rsidRDefault="00E45EC4" w:rsidP="00B45121">
            <w:pPr>
              <w:ind w:left="360"/>
              <w:jc w:val="both"/>
              <w:rPr>
                <w:rFonts w:ascii="Tahoma" w:hAnsi="Tahoma" w:cs="Tahoma"/>
              </w:rPr>
            </w:pPr>
          </w:p>
        </w:tc>
      </w:tr>
      <w:tr w:rsidR="00E45EC4" w:rsidRPr="00E45EC4" w14:paraId="5FC42064" w14:textId="77777777" w:rsidTr="00B45121">
        <w:tc>
          <w:tcPr>
            <w:tcW w:w="3557" w:type="dxa"/>
          </w:tcPr>
          <w:p w14:paraId="018D8305" w14:textId="77777777" w:rsidR="00E45EC4" w:rsidRPr="00E45EC4" w:rsidRDefault="00E45EC4" w:rsidP="00E45EC4">
            <w:pPr>
              <w:pStyle w:val="ListParagraph"/>
              <w:numPr>
                <w:ilvl w:val="0"/>
                <w:numId w:val="28"/>
              </w:numPr>
              <w:contextualSpacing w:val="0"/>
              <w:jc w:val="both"/>
              <w:rPr>
                <w:rFonts w:ascii="Tahoma" w:hAnsi="Tahoma" w:cs="Tahoma"/>
              </w:rPr>
            </w:pPr>
            <w:r w:rsidRPr="00E45EC4">
              <w:rPr>
                <w:rFonts w:ascii="Tahoma" w:eastAsia="Times New Roman" w:hAnsi="Tahoma" w:cs="Tahoma"/>
              </w:rPr>
              <w:t>Health sector response has strategies to reduce HIV prevalence especially among young women aged 15-24 years.</w:t>
            </w:r>
            <w:r w:rsidRPr="00E45EC4">
              <w:rPr>
                <w:rStyle w:val="FootnoteReference"/>
                <w:rFonts w:ascii="Tahoma" w:eastAsia="Times New Roman" w:hAnsi="Tahoma" w:cs="Tahoma"/>
              </w:rPr>
              <w:footnoteReference w:id="27"/>
            </w:r>
          </w:p>
        </w:tc>
        <w:tc>
          <w:tcPr>
            <w:tcW w:w="639" w:type="dxa"/>
          </w:tcPr>
          <w:p w14:paraId="2CE81B01" w14:textId="77777777" w:rsidR="00E45EC4" w:rsidRPr="00B45121" w:rsidRDefault="00E45EC4" w:rsidP="00B45121">
            <w:pPr>
              <w:ind w:left="360"/>
              <w:jc w:val="both"/>
              <w:rPr>
                <w:rFonts w:ascii="Tahoma" w:eastAsia="Times New Roman" w:hAnsi="Tahoma" w:cs="Tahoma"/>
              </w:rPr>
            </w:pPr>
          </w:p>
        </w:tc>
        <w:tc>
          <w:tcPr>
            <w:tcW w:w="555" w:type="dxa"/>
          </w:tcPr>
          <w:p w14:paraId="5F60B414" w14:textId="77777777" w:rsidR="00E45EC4" w:rsidRPr="00B45121" w:rsidRDefault="00E45EC4" w:rsidP="00B45121">
            <w:pPr>
              <w:ind w:left="360"/>
              <w:jc w:val="both"/>
              <w:rPr>
                <w:rFonts w:ascii="Tahoma" w:eastAsia="Times New Roman" w:hAnsi="Tahoma" w:cs="Tahoma"/>
              </w:rPr>
            </w:pPr>
          </w:p>
        </w:tc>
        <w:tc>
          <w:tcPr>
            <w:tcW w:w="4265" w:type="dxa"/>
          </w:tcPr>
          <w:p w14:paraId="1BE949E2" w14:textId="77777777" w:rsidR="00E45EC4" w:rsidRPr="00B45121" w:rsidRDefault="00E45EC4" w:rsidP="00B45121">
            <w:pPr>
              <w:ind w:left="360"/>
              <w:jc w:val="both"/>
              <w:rPr>
                <w:rFonts w:ascii="Tahoma" w:eastAsia="Times New Roman" w:hAnsi="Tahoma" w:cs="Tahoma"/>
              </w:rPr>
            </w:pPr>
          </w:p>
        </w:tc>
      </w:tr>
      <w:tr w:rsidR="00E45EC4" w:rsidRPr="00E45EC4" w14:paraId="02D84111" w14:textId="77777777" w:rsidTr="00B45121">
        <w:tc>
          <w:tcPr>
            <w:tcW w:w="3557" w:type="dxa"/>
          </w:tcPr>
          <w:p w14:paraId="021B8C80"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hAnsi="Tahoma" w:cs="Tahoma"/>
              </w:rPr>
              <w:t>Cervical cancer screening, STI treatments and HIV and AIDS services are available especially during Covid-19 pandemic lockdowns.</w:t>
            </w:r>
          </w:p>
        </w:tc>
        <w:tc>
          <w:tcPr>
            <w:tcW w:w="639" w:type="dxa"/>
          </w:tcPr>
          <w:p w14:paraId="75E9BAC0"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22AE570F"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154E95DF" w14:textId="77777777" w:rsidR="00E45EC4" w:rsidRPr="00B45121" w:rsidRDefault="00E45EC4" w:rsidP="00B45121">
            <w:pPr>
              <w:autoSpaceDE w:val="0"/>
              <w:autoSpaceDN w:val="0"/>
              <w:adjustRightInd w:val="0"/>
              <w:ind w:left="360"/>
              <w:jc w:val="both"/>
              <w:rPr>
                <w:rFonts w:ascii="Tahoma" w:hAnsi="Tahoma" w:cs="Tahoma"/>
              </w:rPr>
            </w:pPr>
          </w:p>
        </w:tc>
      </w:tr>
      <w:tr w:rsidR="00E45EC4" w:rsidRPr="00E45EC4" w14:paraId="60F90132" w14:textId="77777777" w:rsidTr="00B45121">
        <w:tc>
          <w:tcPr>
            <w:tcW w:w="3557" w:type="dxa"/>
          </w:tcPr>
          <w:p w14:paraId="3D44CD5E"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hAnsi="Tahoma" w:cs="Tahoma"/>
              </w:rPr>
              <w:t>There is inclusion of HPV vaccine included in essential health services by the local health facilities especially for girls aged 9-13 years.</w:t>
            </w:r>
          </w:p>
        </w:tc>
        <w:tc>
          <w:tcPr>
            <w:tcW w:w="639" w:type="dxa"/>
          </w:tcPr>
          <w:p w14:paraId="13875EBA"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4B49CC4D"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692F91CB" w14:textId="77777777" w:rsidR="00E45EC4" w:rsidRPr="00B45121" w:rsidRDefault="00E45EC4" w:rsidP="00B45121">
            <w:pPr>
              <w:autoSpaceDE w:val="0"/>
              <w:autoSpaceDN w:val="0"/>
              <w:adjustRightInd w:val="0"/>
              <w:ind w:left="360"/>
              <w:jc w:val="both"/>
              <w:rPr>
                <w:rFonts w:ascii="Tahoma" w:hAnsi="Tahoma" w:cs="Tahoma"/>
              </w:rPr>
            </w:pPr>
          </w:p>
        </w:tc>
      </w:tr>
      <w:tr w:rsidR="00E45EC4" w:rsidRPr="00E45EC4" w14:paraId="13D3A8A1" w14:textId="77777777" w:rsidTr="00B45121">
        <w:tc>
          <w:tcPr>
            <w:tcW w:w="3557" w:type="dxa"/>
            <w:shd w:val="clear" w:color="auto" w:fill="BFBFBF" w:themeFill="background1" w:themeFillShade="BF"/>
          </w:tcPr>
          <w:p w14:paraId="4BAFBCF2" w14:textId="77777777" w:rsidR="00E45EC4" w:rsidRPr="00B45121" w:rsidRDefault="00E45EC4" w:rsidP="00B45121">
            <w:pPr>
              <w:jc w:val="both"/>
              <w:rPr>
                <w:rFonts w:ascii="Tahoma" w:hAnsi="Tahoma" w:cs="Tahoma"/>
                <w:b/>
                <w:bCs/>
                <w:lang w:val="en-US"/>
              </w:rPr>
            </w:pPr>
            <w:r w:rsidRPr="00B45121">
              <w:rPr>
                <w:rFonts w:ascii="Tahoma" w:hAnsi="Tahoma" w:cs="Tahoma"/>
                <w:b/>
                <w:bCs/>
                <w:lang w:val="en-US"/>
              </w:rPr>
              <w:t>Harmful practices</w:t>
            </w:r>
          </w:p>
        </w:tc>
        <w:tc>
          <w:tcPr>
            <w:tcW w:w="639" w:type="dxa"/>
            <w:shd w:val="clear" w:color="auto" w:fill="BFBFBF" w:themeFill="background1" w:themeFillShade="BF"/>
          </w:tcPr>
          <w:p w14:paraId="2FF06B54" w14:textId="77777777" w:rsidR="00E45EC4" w:rsidRPr="00E45EC4" w:rsidRDefault="00E45EC4" w:rsidP="005417B1">
            <w:pPr>
              <w:jc w:val="both"/>
              <w:rPr>
                <w:rFonts w:ascii="Tahoma" w:hAnsi="Tahoma" w:cs="Tahoma"/>
                <w:b/>
                <w:bCs/>
                <w:lang w:val="en-US"/>
              </w:rPr>
            </w:pPr>
          </w:p>
        </w:tc>
        <w:tc>
          <w:tcPr>
            <w:tcW w:w="555" w:type="dxa"/>
            <w:shd w:val="clear" w:color="auto" w:fill="BFBFBF" w:themeFill="background1" w:themeFillShade="BF"/>
          </w:tcPr>
          <w:p w14:paraId="35524012" w14:textId="77777777" w:rsidR="00E45EC4" w:rsidRPr="00E45EC4" w:rsidRDefault="00E45EC4" w:rsidP="005417B1">
            <w:pPr>
              <w:jc w:val="both"/>
              <w:rPr>
                <w:rFonts w:ascii="Tahoma" w:hAnsi="Tahoma" w:cs="Tahoma"/>
                <w:b/>
                <w:bCs/>
                <w:lang w:val="en-US"/>
              </w:rPr>
            </w:pPr>
          </w:p>
        </w:tc>
        <w:tc>
          <w:tcPr>
            <w:tcW w:w="4265" w:type="dxa"/>
            <w:shd w:val="clear" w:color="auto" w:fill="BFBFBF" w:themeFill="background1" w:themeFillShade="BF"/>
          </w:tcPr>
          <w:p w14:paraId="2F70C21D" w14:textId="77777777" w:rsidR="00E45EC4" w:rsidRPr="00E45EC4" w:rsidRDefault="00E45EC4" w:rsidP="005417B1">
            <w:pPr>
              <w:jc w:val="both"/>
              <w:rPr>
                <w:rFonts w:ascii="Tahoma" w:hAnsi="Tahoma" w:cs="Tahoma"/>
                <w:b/>
                <w:bCs/>
                <w:lang w:val="en-US"/>
              </w:rPr>
            </w:pPr>
          </w:p>
        </w:tc>
      </w:tr>
      <w:tr w:rsidR="00E45EC4" w:rsidRPr="00E45EC4" w14:paraId="102FF890" w14:textId="77777777" w:rsidTr="00B45121">
        <w:tc>
          <w:tcPr>
            <w:tcW w:w="3557" w:type="dxa"/>
          </w:tcPr>
          <w:p w14:paraId="39F8F704" w14:textId="77777777" w:rsidR="00E45EC4" w:rsidRPr="00E45EC4" w:rsidRDefault="00E45EC4" w:rsidP="00E45EC4">
            <w:pPr>
              <w:pStyle w:val="ListParagraph"/>
              <w:numPr>
                <w:ilvl w:val="0"/>
                <w:numId w:val="28"/>
              </w:numPr>
              <w:autoSpaceDE w:val="0"/>
              <w:autoSpaceDN w:val="0"/>
              <w:adjustRightInd w:val="0"/>
              <w:contextualSpacing w:val="0"/>
              <w:jc w:val="both"/>
              <w:rPr>
                <w:rFonts w:ascii="Tahoma" w:hAnsi="Tahoma" w:cs="Tahoma"/>
                <w:lang w:val="en-US"/>
              </w:rPr>
            </w:pPr>
            <w:r w:rsidRPr="00E45EC4">
              <w:rPr>
                <w:rFonts w:ascii="Tahoma" w:hAnsi="Tahoma" w:cs="Tahoma"/>
              </w:rPr>
              <w:t>Health-sector response is complemented with community-based and multisectoral interventions that tackle harmful gender norms and attitudes that justify or condone violence against women and girls.</w:t>
            </w:r>
          </w:p>
        </w:tc>
        <w:tc>
          <w:tcPr>
            <w:tcW w:w="639" w:type="dxa"/>
          </w:tcPr>
          <w:p w14:paraId="1F2915B8"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0632EF57"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6B14989F" w14:textId="77777777" w:rsidR="00E45EC4" w:rsidRPr="00B45121" w:rsidRDefault="00E45EC4" w:rsidP="00B45121">
            <w:pPr>
              <w:autoSpaceDE w:val="0"/>
              <w:autoSpaceDN w:val="0"/>
              <w:adjustRightInd w:val="0"/>
              <w:ind w:left="360"/>
              <w:jc w:val="both"/>
              <w:rPr>
                <w:rFonts w:ascii="Tahoma" w:hAnsi="Tahoma" w:cs="Tahoma"/>
              </w:rPr>
            </w:pPr>
          </w:p>
        </w:tc>
      </w:tr>
      <w:tr w:rsidR="00E45EC4" w:rsidRPr="00E45EC4" w14:paraId="3C0CBBE8" w14:textId="77777777" w:rsidTr="00B45121">
        <w:tc>
          <w:tcPr>
            <w:tcW w:w="3557" w:type="dxa"/>
          </w:tcPr>
          <w:p w14:paraId="1B5F55E6" w14:textId="77777777" w:rsidR="00E45EC4" w:rsidRPr="00E45EC4" w:rsidRDefault="00E45EC4" w:rsidP="00E45EC4">
            <w:pPr>
              <w:pStyle w:val="ListParagraph"/>
              <w:numPr>
                <w:ilvl w:val="0"/>
                <w:numId w:val="28"/>
              </w:numPr>
              <w:autoSpaceDE w:val="0"/>
              <w:autoSpaceDN w:val="0"/>
              <w:adjustRightInd w:val="0"/>
              <w:contextualSpacing w:val="0"/>
              <w:jc w:val="both"/>
              <w:rPr>
                <w:rFonts w:ascii="Tahoma" w:hAnsi="Tahoma" w:cs="Tahoma"/>
                <w:lang w:val="en-US"/>
              </w:rPr>
            </w:pPr>
            <w:r w:rsidRPr="00E45EC4">
              <w:rPr>
                <w:rFonts w:ascii="Tahoma" w:hAnsi="Tahoma" w:cs="Tahoma"/>
              </w:rPr>
              <w:t>There are programmes to increase educational opportunities for girls through formal and non-formal channels, and life skills training in order to delay marriage until 18 years of age</w:t>
            </w:r>
            <w:r w:rsidRPr="00E45EC4">
              <w:rPr>
                <w:rStyle w:val="FootnoteReference"/>
                <w:rFonts w:ascii="Tahoma" w:hAnsi="Tahoma" w:cs="Tahoma"/>
              </w:rPr>
              <w:footnoteReference w:id="28"/>
            </w:r>
            <w:r w:rsidRPr="00E45EC4">
              <w:rPr>
                <w:rFonts w:ascii="Tahoma" w:hAnsi="Tahoma" w:cs="Tahoma"/>
              </w:rPr>
              <w:t>.</w:t>
            </w:r>
          </w:p>
        </w:tc>
        <w:tc>
          <w:tcPr>
            <w:tcW w:w="639" w:type="dxa"/>
          </w:tcPr>
          <w:p w14:paraId="336F2B20"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4AD64AE8"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1A048FC8" w14:textId="77777777" w:rsidR="00E45EC4" w:rsidRPr="00B45121" w:rsidRDefault="00E45EC4" w:rsidP="00B45121">
            <w:pPr>
              <w:autoSpaceDE w:val="0"/>
              <w:autoSpaceDN w:val="0"/>
              <w:adjustRightInd w:val="0"/>
              <w:ind w:left="360"/>
              <w:jc w:val="both"/>
              <w:rPr>
                <w:rFonts w:ascii="Tahoma" w:hAnsi="Tahoma" w:cs="Tahoma"/>
              </w:rPr>
            </w:pPr>
          </w:p>
        </w:tc>
      </w:tr>
      <w:tr w:rsidR="00E45EC4" w:rsidRPr="00E45EC4" w14:paraId="1E689B8F" w14:textId="77777777" w:rsidTr="00B45121">
        <w:tc>
          <w:tcPr>
            <w:tcW w:w="3557" w:type="dxa"/>
          </w:tcPr>
          <w:p w14:paraId="4F917B5D"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lang w:val="en-US"/>
              </w:rPr>
            </w:pPr>
            <w:r w:rsidRPr="00E45EC4">
              <w:rPr>
                <w:rFonts w:ascii="ArialMT" w:hAnsi="ArialMT" w:cs="ArialMT"/>
                <w:sz w:val="21"/>
                <w:szCs w:val="21"/>
              </w:rPr>
              <w:t>There are interventions to encourage political leaders, planners and community and religious leaders to formulate and enforce laws and policies to prohibit marriage of girls before 18 years of age.</w:t>
            </w:r>
            <w:r w:rsidRPr="00E45EC4">
              <w:rPr>
                <w:rStyle w:val="FootnoteReference"/>
                <w:rFonts w:ascii="ArialMT" w:hAnsi="ArialMT" w:cs="ArialMT"/>
                <w:sz w:val="21"/>
                <w:szCs w:val="21"/>
              </w:rPr>
              <w:footnoteReference w:id="29"/>
            </w:r>
          </w:p>
        </w:tc>
        <w:tc>
          <w:tcPr>
            <w:tcW w:w="639" w:type="dxa"/>
          </w:tcPr>
          <w:p w14:paraId="1B366E96" w14:textId="77777777" w:rsidR="00E45EC4" w:rsidRPr="00B45121" w:rsidRDefault="00E45EC4" w:rsidP="00B45121">
            <w:pPr>
              <w:autoSpaceDE w:val="0"/>
              <w:autoSpaceDN w:val="0"/>
              <w:adjustRightInd w:val="0"/>
              <w:ind w:left="360"/>
              <w:jc w:val="both"/>
              <w:rPr>
                <w:rFonts w:ascii="ArialMT" w:hAnsi="ArialMT" w:cs="ArialMT"/>
                <w:sz w:val="21"/>
                <w:szCs w:val="21"/>
              </w:rPr>
            </w:pPr>
          </w:p>
        </w:tc>
        <w:tc>
          <w:tcPr>
            <w:tcW w:w="555" w:type="dxa"/>
          </w:tcPr>
          <w:p w14:paraId="123D3521" w14:textId="77777777" w:rsidR="00E45EC4" w:rsidRPr="00B45121" w:rsidRDefault="00E45EC4" w:rsidP="00B45121">
            <w:pPr>
              <w:autoSpaceDE w:val="0"/>
              <w:autoSpaceDN w:val="0"/>
              <w:adjustRightInd w:val="0"/>
              <w:ind w:left="360"/>
              <w:jc w:val="both"/>
              <w:rPr>
                <w:rFonts w:ascii="ArialMT" w:hAnsi="ArialMT" w:cs="ArialMT"/>
                <w:sz w:val="21"/>
                <w:szCs w:val="21"/>
              </w:rPr>
            </w:pPr>
          </w:p>
        </w:tc>
        <w:tc>
          <w:tcPr>
            <w:tcW w:w="4265" w:type="dxa"/>
          </w:tcPr>
          <w:p w14:paraId="512BF526" w14:textId="77777777" w:rsidR="00E45EC4" w:rsidRPr="00B45121" w:rsidRDefault="00E45EC4" w:rsidP="00B45121">
            <w:pPr>
              <w:autoSpaceDE w:val="0"/>
              <w:autoSpaceDN w:val="0"/>
              <w:adjustRightInd w:val="0"/>
              <w:ind w:left="360"/>
              <w:jc w:val="both"/>
              <w:rPr>
                <w:rFonts w:ascii="ArialMT" w:hAnsi="ArialMT" w:cs="ArialMT"/>
                <w:sz w:val="21"/>
                <w:szCs w:val="21"/>
              </w:rPr>
            </w:pPr>
          </w:p>
        </w:tc>
      </w:tr>
      <w:tr w:rsidR="00E45EC4" w:rsidRPr="00E45EC4" w14:paraId="10135825" w14:textId="77777777" w:rsidTr="00B45121">
        <w:tc>
          <w:tcPr>
            <w:tcW w:w="3557" w:type="dxa"/>
          </w:tcPr>
          <w:p w14:paraId="2E246DE1"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lang w:val="en-US"/>
              </w:rPr>
            </w:pPr>
            <w:r w:rsidRPr="00E45EC4">
              <w:rPr>
                <w:rFonts w:ascii="ArialMT" w:hAnsi="ArialMT" w:cs="ArialMT"/>
                <w:sz w:val="21"/>
                <w:szCs w:val="21"/>
              </w:rPr>
              <w:t>All stakeholders, at the community, national, levels, play an active role in the prevention of Female Genital Mutilation (FGM) and child marriage including other emerging harmful practices.</w:t>
            </w:r>
            <w:r w:rsidRPr="00E45EC4">
              <w:rPr>
                <w:rStyle w:val="FootnoteReference"/>
                <w:rFonts w:ascii="ArialMT" w:hAnsi="ArialMT" w:cs="ArialMT"/>
                <w:sz w:val="21"/>
                <w:szCs w:val="21"/>
              </w:rPr>
              <w:footnoteReference w:id="30"/>
            </w:r>
          </w:p>
        </w:tc>
        <w:tc>
          <w:tcPr>
            <w:tcW w:w="639" w:type="dxa"/>
          </w:tcPr>
          <w:p w14:paraId="46981BAB" w14:textId="77777777" w:rsidR="00E45EC4" w:rsidRPr="00B45121" w:rsidRDefault="00E45EC4" w:rsidP="00B45121">
            <w:pPr>
              <w:autoSpaceDE w:val="0"/>
              <w:autoSpaceDN w:val="0"/>
              <w:adjustRightInd w:val="0"/>
              <w:ind w:left="360"/>
              <w:jc w:val="both"/>
              <w:rPr>
                <w:rFonts w:ascii="ArialMT" w:hAnsi="ArialMT" w:cs="ArialMT"/>
                <w:sz w:val="21"/>
                <w:szCs w:val="21"/>
              </w:rPr>
            </w:pPr>
          </w:p>
        </w:tc>
        <w:tc>
          <w:tcPr>
            <w:tcW w:w="555" w:type="dxa"/>
          </w:tcPr>
          <w:p w14:paraId="546A3B2C" w14:textId="77777777" w:rsidR="00E45EC4" w:rsidRPr="00B45121" w:rsidRDefault="00E45EC4" w:rsidP="00B45121">
            <w:pPr>
              <w:autoSpaceDE w:val="0"/>
              <w:autoSpaceDN w:val="0"/>
              <w:adjustRightInd w:val="0"/>
              <w:ind w:left="360"/>
              <w:jc w:val="both"/>
              <w:rPr>
                <w:rFonts w:ascii="ArialMT" w:hAnsi="ArialMT" w:cs="ArialMT"/>
                <w:sz w:val="21"/>
                <w:szCs w:val="21"/>
              </w:rPr>
            </w:pPr>
          </w:p>
        </w:tc>
        <w:tc>
          <w:tcPr>
            <w:tcW w:w="4265" w:type="dxa"/>
          </w:tcPr>
          <w:p w14:paraId="0A6CEED7" w14:textId="77777777" w:rsidR="00E45EC4" w:rsidRPr="00B45121" w:rsidRDefault="00E45EC4" w:rsidP="00B45121">
            <w:pPr>
              <w:autoSpaceDE w:val="0"/>
              <w:autoSpaceDN w:val="0"/>
              <w:adjustRightInd w:val="0"/>
              <w:ind w:left="360"/>
              <w:jc w:val="both"/>
              <w:rPr>
                <w:rFonts w:ascii="ArialMT" w:hAnsi="ArialMT" w:cs="ArialMT"/>
                <w:sz w:val="21"/>
                <w:szCs w:val="21"/>
              </w:rPr>
            </w:pPr>
          </w:p>
        </w:tc>
      </w:tr>
      <w:tr w:rsidR="00E45EC4" w:rsidRPr="00E45EC4" w14:paraId="00E7C9BD" w14:textId="77777777" w:rsidTr="00B45121">
        <w:tc>
          <w:tcPr>
            <w:tcW w:w="3557" w:type="dxa"/>
          </w:tcPr>
          <w:p w14:paraId="51293318"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lang w:val="en-US"/>
              </w:rPr>
            </w:pPr>
            <w:r w:rsidRPr="00E45EC4">
              <w:rPr>
                <w:rFonts w:ascii="Tahoma" w:hAnsi="Tahoma" w:cs="Tahoma"/>
                <w:lang w:val="en-US"/>
              </w:rPr>
              <w:t>There are systems to ensure that h</w:t>
            </w:r>
            <w:r w:rsidRPr="00E45EC4">
              <w:rPr>
                <w:rFonts w:ascii="ArialMT" w:hAnsi="ArialMT" w:cs="ArialMT"/>
                <w:sz w:val="21"/>
                <w:szCs w:val="21"/>
              </w:rPr>
              <w:t>health-care providers receive information regarding different types of FGM and the associated immediate and long-term health risks so that they can contribute to preventing FGM and prevent the medicalization of FGM (performance of FGM by health-care providers).</w:t>
            </w:r>
            <w:r w:rsidRPr="00E45EC4">
              <w:rPr>
                <w:rStyle w:val="FootnoteReference"/>
                <w:rFonts w:ascii="ArialMT" w:hAnsi="ArialMT" w:cs="ArialMT"/>
                <w:sz w:val="21"/>
                <w:szCs w:val="21"/>
              </w:rPr>
              <w:footnoteReference w:id="31"/>
            </w:r>
          </w:p>
        </w:tc>
        <w:tc>
          <w:tcPr>
            <w:tcW w:w="639" w:type="dxa"/>
          </w:tcPr>
          <w:p w14:paraId="349A0DA4" w14:textId="77777777" w:rsidR="00E45EC4" w:rsidRPr="00B45121" w:rsidRDefault="00E45EC4" w:rsidP="00B45121">
            <w:pPr>
              <w:autoSpaceDE w:val="0"/>
              <w:autoSpaceDN w:val="0"/>
              <w:adjustRightInd w:val="0"/>
              <w:ind w:left="360"/>
              <w:jc w:val="both"/>
              <w:rPr>
                <w:rFonts w:ascii="Tahoma" w:hAnsi="Tahoma" w:cs="Tahoma"/>
                <w:lang w:val="en-US"/>
              </w:rPr>
            </w:pPr>
          </w:p>
        </w:tc>
        <w:tc>
          <w:tcPr>
            <w:tcW w:w="555" w:type="dxa"/>
          </w:tcPr>
          <w:p w14:paraId="150A11F7" w14:textId="77777777" w:rsidR="00E45EC4" w:rsidRPr="00B45121" w:rsidRDefault="00E45EC4" w:rsidP="00B45121">
            <w:pPr>
              <w:autoSpaceDE w:val="0"/>
              <w:autoSpaceDN w:val="0"/>
              <w:adjustRightInd w:val="0"/>
              <w:ind w:left="360"/>
              <w:jc w:val="both"/>
              <w:rPr>
                <w:rFonts w:ascii="Tahoma" w:hAnsi="Tahoma" w:cs="Tahoma"/>
                <w:lang w:val="en-US"/>
              </w:rPr>
            </w:pPr>
          </w:p>
        </w:tc>
        <w:tc>
          <w:tcPr>
            <w:tcW w:w="4265" w:type="dxa"/>
          </w:tcPr>
          <w:p w14:paraId="3E5FEBD9" w14:textId="77777777" w:rsidR="00E45EC4" w:rsidRPr="00B45121" w:rsidRDefault="00E45EC4" w:rsidP="00B45121">
            <w:pPr>
              <w:autoSpaceDE w:val="0"/>
              <w:autoSpaceDN w:val="0"/>
              <w:adjustRightInd w:val="0"/>
              <w:ind w:left="360"/>
              <w:jc w:val="both"/>
              <w:rPr>
                <w:rFonts w:ascii="Tahoma" w:hAnsi="Tahoma" w:cs="Tahoma"/>
                <w:lang w:val="en-US"/>
              </w:rPr>
            </w:pPr>
          </w:p>
        </w:tc>
      </w:tr>
      <w:tr w:rsidR="00E45EC4" w:rsidRPr="00E45EC4" w14:paraId="6A7E3A72" w14:textId="77777777" w:rsidTr="00B45121">
        <w:tc>
          <w:tcPr>
            <w:tcW w:w="3557" w:type="dxa"/>
            <w:shd w:val="clear" w:color="auto" w:fill="BFBFBF" w:themeFill="background1" w:themeFillShade="BF"/>
          </w:tcPr>
          <w:p w14:paraId="57330C55" w14:textId="77777777" w:rsidR="00E45EC4" w:rsidRPr="00B45121" w:rsidRDefault="00E45EC4" w:rsidP="00B45121">
            <w:pPr>
              <w:jc w:val="both"/>
              <w:rPr>
                <w:rFonts w:ascii="Tahoma" w:hAnsi="Tahoma" w:cs="Tahoma"/>
                <w:b/>
                <w:lang w:val="en-US"/>
              </w:rPr>
            </w:pPr>
            <w:r w:rsidRPr="00B45121">
              <w:rPr>
                <w:rFonts w:ascii="Tahoma" w:hAnsi="Tahoma" w:cs="Tahoma"/>
                <w:b/>
                <w:lang w:val="en-US"/>
              </w:rPr>
              <w:t>Minimum age of marriage</w:t>
            </w:r>
          </w:p>
        </w:tc>
        <w:tc>
          <w:tcPr>
            <w:tcW w:w="639" w:type="dxa"/>
            <w:shd w:val="clear" w:color="auto" w:fill="BFBFBF" w:themeFill="background1" w:themeFillShade="BF"/>
          </w:tcPr>
          <w:p w14:paraId="5C6D0D51" w14:textId="77777777" w:rsidR="00E45EC4" w:rsidRPr="00E45EC4" w:rsidRDefault="00E45EC4" w:rsidP="005417B1">
            <w:pPr>
              <w:jc w:val="both"/>
              <w:rPr>
                <w:rFonts w:ascii="Tahoma" w:hAnsi="Tahoma" w:cs="Tahoma"/>
                <w:b/>
                <w:lang w:val="en-US"/>
              </w:rPr>
            </w:pPr>
          </w:p>
        </w:tc>
        <w:tc>
          <w:tcPr>
            <w:tcW w:w="555" w:type="dxa"/>
            <w:shd w:val="clear" w:color="auto" w:fill="BFBFBF" w:themeFill="background1" w:themeFillShade="BF"/>
          </w:tcPr>
          <w:p w14:paraId="5EA4CC11" w14:textId="77777777" w:rsidR="00E45EC4" w:rsidRPr="00E45EC4" w:rsidRDefault="00E45EC4" w:rsidP="005417B1">
            <w:pPr>
              <w:jc w:val="both"/>
              <w:rPr>
                <w:rFonts w:ascii="Tahoma" w:hAnsi="Tahoma" w:cs="Tahoma"/>
                <w:b/>
                <w:lang w:val="en-US"/>
              </w:rPr>
            </w:pPr>
          </w:p>
        </w:tc>
        <w:tc>
          <w:tcPr>
            <w:tcW w:w="4265" w:type="dxa"/>
            <w:shd w:val="clear" w:color="auto" w:fill="BFBFBF" w:themeFill="background1" w:themeFillShade="BF"/>
          </w:tcPr>
          <w:p w14:paraId="73359ABD" w14:textId="77777777" w:rsidR="00E45EC4" w:rsidRPr="00E45EC4" w:rsidRDefault="00E45EC4" w:rsidP="005417B1">
            <w:pPr>
              <w:jc w:val="both"/>
              <w:rPr>
                <w:rFonts w:ascii="Tahoma" w:hAnsi="Tahoma" w:cs="Tahoma"/>
                <w:b/>
                <w:lang w:val="en-US"/>
              </w:rPr>
            </w:pPr>
          </w:p>
        </w:tc>
      </w:tr>
      <w:tr w:rsidR="00E45EC4" w:rsidRPr="00E45EC4" w14:paraId="4A868D7A" w14:textId="77777777" w:rsidTr="00B45121">
        <w:tc>
          <w:tcPr>
            <w:tcW w:w="3557" w:type="dxa"/>
          </w:tcPr>
          <w:p w14:paraId="079515F0" w14:textId="77777777" w:rsidR="00E45EC4" w:rsidRPr="00E45EC4" w:rsidRDefault="00E45EC4" w:rsidP="00E45EC4">
            <w:pPr>
              <w:pStyle w:val="ListParagraph"/>
              <w:numPr>
                <w:ilvl w:val="0"/>
                <w:numId w:val="28"/>
              </w:numPr>
              <w:jc w:val="both"/>
              <w:rPr>
                <w:rFonts w:ascii="Tahoma" w:hAnsi="Tahoma" w:cs="Tahoma"/>
                <w:lang w:val="en-US"/>
              </w:rPr>
            </w:pPr>
            <w:r w:rsidRPr="00E45EC4">
              <w:rPr>
                <w:rFonts w:ascii="Tahoma" w:hAnsi="Tahoma" w:cs="Tahoma"/>
                <w:lang w:val="en-US"/>
              </w:rPr>
              <w:t>The country’s minimum legal age to marriage for girls and boys conforms with the SADC Model Law on Child Marriages.</w:t>
            </w:r>
          </w:p>
        </w:tc>
        <w:tc>
          <w:tcPr>
            <w:tcW w:w="639" w:type="dxa"/>
          </w:tcPr>
          <w:p w14:paraId="7D774896" w14:textId="77777777" w:rsidR="00E45EC4" w:rsidRPr="00B45121" w:rsidRDefault="00E45EC4" w:rsidP="00B45121">
            <w:pPr>
              <w:ind w:left="360"/>
              <w:jc w:val="both"/>
              <w:rPr>
                <w:rFonts w:ascii="Tahoma" w:hAnsi="Tahoma" w:cs="Tahoma"/>
                <w:lang w:val="en-US"/>
              </w:rPr>
            </w:pPr>
          </w:p>
        </w:tc>
        <w:tc>
          <w:tcPr>
            <w:tcW w:w="555" w:type="dxa"/>
          </w:tcPr>
          <w:p w14:paraId="6428AFBB" w14:textId="77777777" w:rsidR="00E45EC4" w:rsidRPr="00B45121" w:rsidRDefault="00E45EC4" w:rsidP="00B45121">
            <w:pPr>
              <w:ind w:left="360"/>
              <w:jc w:val="both"/>
              <w:rPr>
                <w:rFonts w:ascii="Tahoma" w:hAnsi="Tahoma" w:cs="Tahoma"/>
                <w:lang w:val="en-US"/>
              </w:rPr>
            </w:pPr>
          </w:p>
        </w:tc>
        <w:tc>
          <w:tcPr>
            <w:tcW w:w="4265" w:type="dxa"/>
          </w:tcPr>
          <w:p w14:paraId="07EA81E9" w14:textId="77777777" w:rsidR="00E45EC4" w:rsidRPr="00B45121" w:rsidRDefault="00E45EC4" w:rsidP="00B45121">
            <w:pPr>
              <w:ind w:left="360"/>
              <w:jc w:val="both"/>
              <w:rPr>
                <w:rFonts w:ascii="Tahoma" w:hAnsi="Tahoma" w:cs="Tahoma"/>
                <w:lang w:val="en-US"/>
              </w:rPr>
            </w:pPr>
          </w:p>
        </w:tc>
      </w:tr>
      <w:tr w:rsidR="00E45EC4" w:rsidRPr="00E45EC4" w14:paraId="7636BCC7" w14:textId="77777777" w:rsidTr="00B45121">
        <w:tc>
          <w:tcPr>
            <w:tcW w:w="3557" w:type="dxa"/>
          </w:tcPr>
          <w:p w14:paraId="26EE6640" w14:textId="77777777" w:rsidR="00E45EC4" w:rsidRPr="00E45EC4" w:rsidRDefault="00E45EC4" w:rsidP="00E45EC4">
            <w:pPr>
              <w:pStyle w:val="ListParagraph"/>
              <w:numPr>
                <w:ilvl w:val="0"/>
                <w:numId w:val="28"/>
              </w:numPr>
              <w:jc w:val="both"/>
              <w:rPr>
                <w:rFonts w:ascii="Tahoma" w:hAnsi="Tahoma" w:cs="Tahoma"/>
                <w:lang w:val="en-US"/>
              </w:rPr>
            </w:pPr>
            <w:r w:rsidRPr="00E45EC4">
              <w:rPr>
                <w:rFonts w:ascii="Tahoma" w:hAnsi="Tahoma" w:cs="Tahoma"/>
                <w:lang w:val="en-US"/>
              </w:rPr>
              <w:t>The country’s minimum legal age to consent to sex for girls and boys conforms with the SADC SRHR guidelines.</w:t>
            </w:r>
          </w:p>
        </w:tc>
        <w:tc>
          <w:tcPr>
            <w:tcW w:w="639" w:type="dxa"/>
          </w:tcPr>
          <w:p w14:paraId="22D5726E" w14:textId="77777777" w:rsidR="00E45EC4" w:rsidRPr="00B45121" w:rsidRDefault="00E45EC4" w:rsidP="00B45121">
            <w:pPr>
              <w:ind w:left="360"/>
              <w:jc w:val="both"/>
              <w:rPr>
                <w:rFonts w:ascii="Tahoma" w:hAnsi="Tahoma" w:cs="Tahoma"/>
                <w:lang w:val="en-US"/>
              </w:rPr>
            </w:pPr>
          </w:p>
        </w:tc>
        <w:tc>
          <w:tcPr>
            <w:tcW w:w="555" w:type="dxa"/>
          </w:tcPr>
          <w:p w14:paraId="71939CE1" w14:textId="77777777" w:rsidR="00E45EC4" w:rsidRPr="00B45121" w:rsidRDefault="00E45EC4" w:rsidP="00B45121">
            <w:pPr>
              <w:ind w:left="360"/>
              <w:jc w:val="both"/>
              <w:rPr>
                <w:rFonts w:ascii="Tahoma" w:hAnsi="Tahoma" w:cs="Tahoma"/>
                <w:lang w:val="en-US"/>
              </w:rPr>
            </w:pPr>
          </w:p>
        </w:tc>
        <w:tc>
          <w:tcPr>
            <w:tcW w:w="4265" w:type="dxa"/>
          </w:tcPr>
          <w:p w14:paraId="46F66969" w14:textId="77777777" w:rsidR="00E45EC4" w:rsidRPr="00B45121" w:rsidRDefault="00E45EC4" w:rsidP="00B45121">
            <w:pPr>
              <w:ind w:left="360"/>
              <w:jc w:val="both"/>
              <w:rPr>
                <w:rFonts w:ascii="Tahoma" w:hAnsi="Tahoma" w:cs="Tahoma"/>
                <w:lang w:val="en-US"/>
              </w:rPr>
            </w:pPr>
          </w:p>
        </w:tc>
      </w:tr>
      <w:tr w:rsidR="00E45EC4" w:rsidRPr="00E45EC4" w14:paraId="62CF0676" w14:textId="77777777" w:rsidTr="00B45121">
        <w:tc>
          <w:tcPr>
            <w:tcW w:w="3557" w:type="dxa"/>
          </w:tcPr>
          <w:p w14:paraId="2CF5241E"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hAnsi="Tahoma" w:cs="Tahoma"/>
              </w:rPr>
              <w:t>There are sufficient measures in place to ensure that legal prohibitions on early marriage are enforced in line with SADC Model Law on Child marriages.</w:t>
            </w:r>
          </w:p>
        </w:tc>
        <w:tc>
          <w:tcPr>
            <w:tcW w:w="639" w:type="dxa"/>
          </w:tcPr>
          <w:p w14:paraId="53775642"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24350722"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215F5F12" w14:textId="77777777" w:rsidR="00E45EC4" w:rsidRPr="00B45121" w:rsidRDefault="00E45EC4" w:rsidP="00B45121">
            <w:pPr>
              <w:autoSpaceDE w:val="0"/>
              <w:autoSpaceDN w:val="0"/>
              <w:adjustRightInd w:val="0"/>
              <w:ind w:left="360"/>
              <w:jc w:val="both"/>
              <w:rPr>
                <w:rFonts w:ascii="Tahoma" w:hAnsi="Tahoma" w:cs="Tahoma"/>
              </w:rPr>
            </w:pPr>
          </w:p>
        </w:tc>
      </w:tr>
      <w:tr w:rsidR="00B45121" w:rsidRPr="00E45EC4" w14:paraId="6466040B" w14:textId="77777777" w:rsidTr="00B45121">
        <w:tc>
          <w:tcPr>
            <w:tcW w:w="9016" w:type="dxa"/>
            <w:gridSpan w:val="4"/>
            <w:shd w:val="clear" w:color="auto" w:fill="BFBFBF" w:themeFill="background1" w:themeFillShade="BF"/>
          </w:tcPr>
          <w:p w14:paraId="3B37BD4D" w14:textId="77777777" w:rsidR="00B45121" w:rsidRPr="00E45EC4" w:rsidRDefault="00B45121" w:rsidP="005417B1">
            <w:pPr>
              <w:jc w:val="both"/>
              <w:rPr>
                <w:rFonts w:ascii="Tahoma" w:hAnsi="Tahoma" w:cs="Tahoma"/>
                <w:b/>
                <w:bCs/>
                <w:lang w:val="en-US"/>
              </w:rPr>
            </w:pPr>
            <w:r w:rsidRPr="00B45121">
              <w:rPr>
                <w:rFonts w:ascii="Tahoma" w:hAnsi="Tahoma" w:cs="Tahoma"/>
                <w:b/>
                <w:bCs/>
                <w:lang w:val="en-US"/>
              </w:rPr>
              <w:t>Sexual and Gender Based violence (SGBV)</w:t>
            </w:r>
            <w:r w:rsidRPr="00E45EC4">
              <w:rPr>
                <w:rStyle w:val="FootnoteReference"/>
                <w:rFonts w:ascii="Tahoma" w:hAnsi="Tahoma" w:cs="Tahoma"/>
                <w:b/>
                <w:bCs/>
                <w:lang w:val="en-US"/>
              </w:rPr>
              <w:footnoteReference w:id="32"/>
            </w:r>
          </w:p>
        </w:tc>
      </w:tr>
      <w:tr w:rsidR="00E45EC4" w:rsidRPr="00E45EC4" w14:paraId="2FE1FD84" w14:textId="77777777" w:rsidTr="00B45121">
        <w:tc>
          <w:tcPr>
            <w:tcW w:w="3557" w:type="dxa"/>
          </w:tcPr>
          <w:p w14:paraId="38B6085E"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The government and stakeholders implement programmes aimed at developing self-esteem, life skills in communication and negotiation for adolescent girls and young women</w:t>
            </w:r>
            <w:r w:rsidRPr="00E45EC4">
              <w:rPr>
                <w:rStyle w:val="FootnoteReference"/>
                <w:rFonts w:ascii="Tahoma" w:hAnsi="Tahoma" w:cs="Tahoma"/>
              </w:rPr>
              <w:footnoteReference w:id="33"/>
            </w:r>
            <w:r w:rsidRPr="00E45EC4">
              <w:rPr>
                <w:rFonts w:ascii="Tahoma" w:hAnsi="Tahoma" w:cs="Tahoma"/>
              </w:rPr>
              <w:t>.</w:t>
            </w:r>
          </w:p>
        </w:tc>
        <w:tc>
          <w:tcPr>
            <w:tcW w:w="639" w:type="dxa"/>
          </w:tcPr>
          <w:p w14:paraId="3A6BC6FB" w14:textId="77777777" w:rsidR="00E45EC4" w:rsidRPr="00B45121" w:rsidRDefault="00E45EC4" w:rsidP="00B45121">
            <w:pPr>
              <w:ind w:left="360"/>
              <w:jc w:val="both"/>
              <w:rPr>
                <w:rFonts w:ascii="Tahoma" w:hAnsi="Tahoma" w:cs="Tahoma"/>
              </w:rPr>
            </w:pPr>
          </w:p>
        </w:tc>
        <w:tc>
          <w:tcPr>
            <w:tcW w:w="555" w:type="dxa"/>
          </w:tcPr>
          <w:p w14:paraId="53BD53F0" w14:textId="77777777" w:rsidR="00E45EC4" w:rsidRPr="00B45121" w:rsidRDefault="00E45EC4" w:rsidP="00B45121">
            <w:pPr>
              <w:ind w:left="360"/>
              <w:jc w:val="both"/>
              <w:rPr>
                <w:rFonts w:ascii="Tahoma" w:hAnsi="Tahoma" w:cs="Tahoma"/>
              </w:rPr>
            </w:pPr>
          </w:p>
        </w:tc>
        <w:tc>
          <w:tcPr>
            <w:tcW w:w="4265" w:type="dxa"/>
          </w:tcPr>
          <w:p w14:paraId="214A0657" w14:textId="77777777" w:rsidR="00E45EC4" w:rsidRPr="00B45121" w:rsidRDefault="00E45EC4" w:rsidP="00B45121">
            <w:pPr>
              <w:ind w:left="360"/>
              <w:jc w:val="both"/>
              <w:rPr>
                <w:rFonts w:ascii="Tahoma" w:hAnsi="Tahoma" w:cs="Tahoma"/>
              </w:rPr>
            </w:pPr>
          </w:p>
        </w:tc>
      </w:tr>
      <w:tr w:rsidR="00E45EC4" w:rsidRPr="00E45EC4" w14:paraId="49B60E2C" w14:textId="77777777" w:rsidTr="00B45121">
        <w:tc>
          <w:tcPr>
            <w:tcW w:w="3557" w:type="dxa"/>
          </w:tcPr>
          <w:p w14:paraId="0BC7767D"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hAnsi="Tahoma" w:cs="Tahoma"/>
              </w:rPr>
              <w:t>Country promotes gender-transformative approaches that engage men and boys to critically assess gender norms and behaviours that relate to sexual coercion and violence</w:t>
            </w:r>
            <w:r w:rsidRPr="00E45EC4">
              <w:rPr>
                <w:rStyle w:val="FootnoteReference"/>
                <w:rFonts w:ascii="Tahoma" w:hAnsi="Tahoma" w:cs="Tahoma"/>
              </w:rPr>
              <w:footnoteReference w:id="34"/>
            </w:r>
            <w:r w:rsidRPr="00E45EC4">
              <w:rPr>
                <w:rFonts w:ascii="Tahoma" w:hAnsi="Tahoma" w:cs="Tahoma"/>
              </w:rPr>
              <w:t>.</w:t>
            </w:r>
          </w:p>
        </w:tc>
        <w:tc>
          <w:tcPr>
            <w:tcW w:w="639" w:type="dxa"/>
          </w:tcPr>
          <w:p w14:paraId="7E196276"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2EE34CE4"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6109A2C3" w14:textId="77777777" w:rsidR="00E45EC4" w:rsidRPr="00B45121" w:rsidRDefault="00E45EC4" w:rsidP="00B45121">
            <w:pPr>
              <w:autoSpaceDE w:val="0"/>
              <w:autoSpaceDN w:val="0"/>
              <w:adjustRightInd w:val="0"/>
              <w:ind w:left="360"/>
              <w:jc w:val="both"/>
              <w:rPr>
                <w:rFonts w:ascii="Tahoma" w:hAnsi="Tahoma" w:cs="Tahoma"/>
              </w:rPr>
            </w:pPr>
          </w:p>
        </w:tc>
      </w:tr>
      <w:tr w:rsidR="00E45EC4" w:rsidRPr="00E45EC4" w14:paraId="2B6AAD45" w14:textId="77777777" w:rsidTr="00B45121">
        <w:tc>
          <w:tcPr>
            <w:tcW w:w="3557" w:type="dxa"/>
          </w:tcPr>
          <w:p w14:paraId="684A8712" w14:textId="77777777" w:rsidR="00E45EC4" w:rsidRPr="00E45EC4" w:rsidRDefault="00E45EC4" w:rsidP="00E45EC4">
            <w:pPr>
              <w:pStyle w:val="ListParagraph"/>
              <w:numPr>
                <w:ilvl w:val="0"/>
                <w:numId w:val="28"/>
              </w:numPr>
              <w:autoSpaceDE w:val="0"/>
              <w:autoSpaceDN w:val="0"/>
              <w:adjustRightInd w:val="0"/>
              <w:contextualSpacing w:val="0"/>
              <w:jc w:val="both"/>
              <w:rPr>
                <w:rFonts w:ascii="Tahoma" w:hAnsi="Tahoma" w:cs="Tahoma"/>
              </w:rPr>
            </w:pPr>
            <w:r w:rsidRPr="00E45EC4">
              <w:rPr>
                <w:rFonts w:ascii="Tahoma" w:hAnsi="Tahoma" w:cs="Tahoma"/>
              </w:rPr>
              <w:t>Support and care for adolescent girls who experience IPV and sexual violence is integrated into sexual and reproductive health, HIV, mental health and adolescent health programmes and services.</w:t>
            </w:r>
          </w:p>
        </w:tc>
        <w:tc>
          <w:tcPr>
            <w:tcW w:w="639" w:type="dxa"/>
          </w:tcPr>
          <w:p w14:paraId="0E2CBC9F"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654CD5A2"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4FAC98B1" w14:textId="77777777" w:rsidR="00E45EC4" w:rsidRPr="00B45121" w:rsidRDefault="00E45EC4" w:rsidP="00B45121">
            <w:pPr>
              <w:autoSpaceDE w:val="0"/>
              <w:autoSpaceDN w:val="0"/>
              <w:adjustRightInd w:val="0"/>
              <w:ind w:left="360"/>
              <w:jc w:val="both"/>
              <w:rPr>
                <w:rFonts w:ascii="Tahoma" w:hAnsi="Tahoma" w:cs="Tahoma"/>
              </w:rPr>
            </w:pPr>
          </w:p>
        </w:tc>
      </w:tr>
      <w:tr w:rsidR="00E45EC4" w:rsidRPr="00E45EC4" w14:paraId="23E2F1F3" w14:textId="77777777" w:rsidTr="00B45121">
        <w:tc>
          <w:tcPr>
            <w:tcW w:w="3557" w:type="dxa"/>
          </w:tcPr>
          <w:p w14:paraId="36860A48" w14:textId="77777777" w:rsidR="00E45EC4" w:rsidRPr="00E45EC4" w:rsidRDefault="00E45EC4" w:rsidP="00E45EC4">
            <w:pPr>
              <w:pStyle w:val="ListParagraph"/>
              <w:numPr>
                <w:ilvl w:val="0"/>
                <w:numId w:val="28"/>
              </w:numPr>
              <w:autoSpaceDE w:val="0"/>
              <w:autoSpaceDN w:val="0"/>
              <w:adjustRightInd w:val="0"/>
              <w:jc w:val="both"/>
              <w:rPr>
                <w:rFonts w:ascii="Tahoma" w:hAnsi="Tahoma" w:cs="Tahoma"/>
              </w:rPr>
            </w:pPr>
            <w:r w:rsidRPr="00E45EC4">
              <w:rPr>
                <w:rFonts w:ascii="Tahoma" w:hAnsi="Tahoma" w:cs="Tahoma"/>
              </w:rPr>
              <w:t>There are sufficient measures in place to ensure compliance with provisions in the SADC GBV Model Law.</w:t>
            </w:r>
          </w:p>
        </w:tc>
        <w:tc>
          <w:tcPr>
            <w:tcW w:w="639" w:type="dxa"/>
          </w:tcPr>
          <w:p w14:paraId="4F453A4E"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2DDAAD7C"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393E3E25" w14:textId="77777777" w:rsidR="00E45EC4" w:rsidRPr="00B45121" w:rsidRDefault="00E45EC4" w:rsidP="00B45121">
            <w:pPr>
              <w:autoSpaceDE w:val="0"/>
              <w:autoSpaceDN w:val="0"/>
              <w:adjustRightInd w:val="0"/>
              <w:ind w:left="360"/>
              <w:jc w:val="both"/>
              <w:rPr>
                <w:rFonts w:ascii="Tahoma" w:hAnsi="Tahoma" w:cs="Tahoma"/>
              </w:rPr>
            </w:pPr>
          </w:p>
        </w:tc>
      </w:tr>
      <w:tr w:rsidR="00E45EC4" w:rsidRPr="00E45EC4" w14:paraId="19B5E956" w14:textId="77777777" w:rsidTr="00B45121">
        <w:tc>
          <w:tcPr>
            <w:tcW w:w="3557" w:type="dxa"/>
          </w:tcPr>
          <w:p w14:paraId="5468CF51" w14:textId="77777777" w:rsidR="00E45EC4" w:rsidRPr="00E45EC4" w:rsidRDefault="00E45EC4" w:rsidP="00E45EC4">
            <w:pPr>
              <w:pStyle w:val="ListParagraph"/>
              <w:numPr>
                <w:ilvl w:val="0"/>
                <w:numId w:val="28"/>
              </w:numPr>
              <w:jc w:val="both"/>
              <w:rPr>
                <w:rFonts w:ascii="Tahoma" w:hAnsi="Tahoma" w:cs="Tahoma"/>
              </w:rPr>
            </w:pPr>
            <w:r w:rsidRPr="00E45EC4">
              <w:rPr>
                <w:rFonts w:ascii="Tahoma" w:hAnsi="Tahoma" w:cs="Tahoma"/>
              </w:rPr>
              <w:t>There is provision to strengthen sexual harassment laws in the country including protecting adolescents from sextortion at tertiary institutions of learning.</w:t>
            </w:r>
          </w:p>
        </w:tc>
        <w:tc>
          <w:tcPr>
            <w:tcW w:w="639" w:type="dxa"/>
          </w:tcPr>
          <w:p w14:paraId="53E640AC" w14:textId="77777777" w:rsidR="00E45EC4" w:rsidRPr="00B45121" w:rsidRDefault="00E45EC4" w:rsidP="00B45121">
            <w:pPr>
              <w:ind w:left="360"/>
              <w:jc w:val="both"/>
              <w:rPr>
                <w:rFonts w:ascii="Tahoma" w:hAnsi="Tahoma" w:cs="Tahoma"/>
              </w:rPr>
            </w:pPr>
          </w:p>
        </w:tc>
        <w:tc>
          <w:tcPr>
            <w:tcW w:w="555" w:type="dxa"/>
          </w:tcPr>
          <w:p w14:paraId="434BF60D" w14:textId="77777777" w:rsidR="00E45EC4" w:rsidRPr="00B45121" w:rsidRDefault="00E45EC4" w:rsidP="00B45121">
            <w:pPr>
              <w:ind w:left="360"/>
              <w:jc w:val="both"/>
              <w:rPr>
                <w:rFonts w:ascii="Tahoma" w:hAnsi="Tahoma" w:cs="Tahoma"/>
              </w:rPr>
            </w:pPr>
          </w:p>
        </w:tc>
        <w:tc>
          <w:tcPr>
            <w:tcW w:w="4265" w:type="dxa"/>
          </w:tcPr>
          <w:p w14:paraId="542B3C52" w14:textId="77777777" w:rsidR="00E45EC4" w:rsidRPr="00B45121" w:rsidRDefault="00E45EC4" w:rsidP="00B45121">
            <w:pPr>
              <w:ind w:left="360"/>
              <w:jc w:val="both"/>
              <w:rPr>
                <w:rFonts w:ascii="Tahoma" w:hAnsi="Tahoma" w:cs="Tahoma"/>
              </w:rPr>
            </w:pPr>
          </w:p>
        </w:tc>
      </w:tr>
      <w:tr w:rsidR="00E45EC4" w:rsidRPr="00E45EC4" w14:paraId="33EB7ECE" w14:textId="77777777" w:rsidTr="00B45121">
        <w:tc>
          <w:tcPr>
            <w:tcW w:w="3557" w:type="dxa"/>
          </w:tcPr>
          <w:p w14:paraId="72C55005" w14:textId="77777777" w:rsidR="00E45EC4" w:rsidRPr="00E45EC4" w:rsidRDefault="00E45EC4" w:rsidP="00E45EC4">
            <w:pPr>
              <w:pStyle w:val="ListParagraph"/>
              <w:numPr>
                <w:ilvl w:val="0"/>
                <w:numId w:val="28"/>
              </w:numPr>
              <w:contextualSpacing w:val="0"/>
              <w:jc w:val="both"/>
              <w:rPr>
                <w:rFonts w:ascii="Tahoma" w:hAnsi="Tahoma" w:cs="Tahoma"/>
                <w:lang w:val="en-US"/>
              </w:rPr>
            </w:pPr>
            <w:r w:rsidRPr="00E45EC4">
              <w:rPr>
                <w:rFonts w:ascii="Tahoma" w:hAnsi="Tahoma" w:cs="Tahoma"/>
              </w:rPr>
              <w:t xml:space="preserve">The government and legal practitioners </w:t>
            </w:r>
            <w:r w:rsidRPr="00E45EC4">
              <w:rPr>
                <w:rFonts w:ascii="Tahoma" w:hAnsi="Tahoma" w:cs="Tahoma"/>
                <w:lang w:val="en-US"/>
              </w:rPr>
              <w:t>offer accessible, affordable and specialised services, including legal aid, to survivors of GBV including adolescents in the country.</w:t>
            </w:r>
          </w:p>
        </w:tc>
        <w:tc>
          <w:tcPr>
            <w:tcW w:w="639" w:type="dxa"/>
          </w:tcPr>
          <w:p w14:paraId="169BD079" w14:textId="77777777" w:rsidR="00E45EC4" w:rsidRPr="00B45121" w:rsidRDefault="00E45EC4" w:rsidP="00B45121">
            <w:pPr>
              <w:ind w:left="360"/>
              <w:jc w:val="both"/>
              <w:rPr>
                <w:rFonts w:ascii="Tahoma" w:hAnsi="Tahoma" w:cs="Tahoma"/>
              </w:rPr>
            </w:pPr>
          </w:p>
        </w:tc>
        <w:tc>
          <w:tcPr>
            <w:tcW w:w="555" w:type="dxa"/>
          </w:tcPr>
          <w:p w14:paraId="729960C9" w14:textId="77777777" w:rsidR="00E45EC4" w:rsidRPr="00B45121" w:rsidRDefault="00E45EC4" w:rsidP="00B45121">
            <w:pPr>
              <w:ind w:left="360"/>
              <w:jc w:val="both"/>
              <w:rPr>
                <w:rFonts w:ascii="Tahoma" w:hAnsi="Tahoma" w:cs="Tahoma"/>
              </w:rPr>
            </w:pPr>
          </w:p>
        </w:tc>
        <w:tc>
          <w:tcPr>
            <w:tcW w:w="4265" w:type="dxa"/>
          </w:tcPr>
          <w:p w14:paraId="0122ED05" w14:textId="77777777" w:rsidR="00E45EC4" w:rsidRPr="00B45121" w:rsidRDefault="00E45EC4" w:rsidP="00B45121">
            <w:pPr>
              <w:ind w:left="360"/>
              <w:jc w:val="both"/>
              <w:rPr>
                <w:rFonts w:ascii="Tahoma" w:hAnsi="Tahoma" w:cs="Tahoma"/>
              </w:rPr>
            </w:pPr>
          </w:p>
        </w:tc>
      </w:tr>
      <w:tr w:rsidR="00E45EC4" w:rsidRPr="00E45EC4" w14:paraId="4732953D" w14:textId="77777777" w:rsidTr="00B45121">
        <w:tc>
          <w:tcPr>
            <w:tcW w:w="3557" w:type="dxa"/>
          </w:tcPr>
          <w:p w14:paraId="6C6C8232" w14:textId="77777777" w:rsidR="00E45EC4" w:rsidRPr="00E45EC4" w:rsidRDefault="00E45EC4" w:rsidP="00E45EC4">
            <w:pPr>
              <w:pStyle w:val="ListParagraph"/>
              <w:numPr>
                <w:ilvl w:val="0"/>
                <w:numId w:val="28"/>
              </w:numPr>
              <w:autoSpaceDE w:val="0"/>
              <w:autoSpaceDN w:val="0"/>
              <w:adjustRightInd w:val="0"/>
              <w:contextualSpacing w:val="0"/>
              <w:jc w:val="both"/>
              <w:rPr>
                <w:rFonts w:ascii="Tahoma" w:hAnsi="Tahoma" w:cs="Tahoma"/>
              </w:rPr>
            </w:pPr>
            <w:r w:rsidRPr="00E45EC4">
              <w:rPr>
                <w:rFonts w:ascii="Tahoma" w:hAnsi="Tahoma" w:cs="Tahoma"/>
              </w:rPr>
              <w:t>Facilitate uptake of SGBV services through raising public awareness of the signs, symptoms and health consequences of IPV and sexual abuse, and the need to reduce stigma and to seek timely care</w:t>
            </w:r>
            <w:r w:rsidRPr="00E45EC4">
              <w:rPr>
                <w:rStyle w:val="FootnoteReference"/>
                <w:rFonts w:ascii="Tahoma" w:hAnsi="Tahoma" w:cs="Tahoma"/>
              </w:rPr>
              <w:footnoteReference w:id="35"/>
            </w:r>
            <w:r w:rsidRPr="00E45EC4">
              <w:rPr>
                <w:rFonts w:ascii="Tahoma" w:hAnsi="Tahoma" w:cs="Tahoma"/>
              </w:rPr>
              <w:t>.</w:t>
            </w:r>
          </w:p>
        </w:tc>
        <w:tc>
          <w:tcPr>
            <w:tcW w:w="639" w:type="dxa"/>
          </w:tcPr>
          <w:p w14:paraId="19CBA9F2" w14:textId="77777777" w:rsidR="00E45EC4" w:rsidRPr="00B45121" w:rsidRDefault="00E45EC4" w:rsidP="00B45121">
            <w:pPr>
              <w:autoSpaceDE w:val="0"/>
              <w:autoSpaceDN w:val="0"/>
              <w:adjustRightInd w:val="0"/>
              <w:ind w:left="360"/>
              <w:jc w:val="both"/>
              <w:rPr>
                <w:rFonts w:ascii="Tahoma" w:hAnsi="Tahoma" w:cs="Tahoma"/>
              </w:rPr>
            </w:pPr>
          </w:p>
        </w:tc>
        <w:tc>
          <w:tcPr>
            <w:tcW w:w="555" w:type="dxa"/>
          </w:tcPr>
          <w:p w14:paraId="354368D4" w14:textId="77777777" w:rsidR="00E45EC4" w:rsidRPr="00B45121" w:rsidRDefault="00E45EC4" w:rsidP="00B45121">
            <w:pPr>
              <w:autoSpaceDE w:val="0"/>
              <w:autoSpaceDN w:val="0"/>
              <w:adjustRightInd w:val="0"/>
              <w:ind w:left="360"/>
              <w:jc w:val="both"/>
              <w:rPr>
                <w:rFonts w:ascii="Tahoma" w:hAnsi="Tahoma" w:cs="Tahoma"/>
              </w:rPr>
            </w:pPr>
          </w:p>
        </w:tc>
        <w:tc>
          <w:tcPr>
            <w:tcW w:w="4265" w:type="dxa"/>
          </w:tcPr>
          <w:p w14:paraId="76196487" w14:textId="77777777" w:rsidR="00E45EC4" w:rsidRPr="00B45121" w:rsidRDefault="00E45EC4" w:rsidP="00B45121">
            <w:pPr>
              <w:autoSpaceDE w:val="0"/>
              <w:autoSpaceDN w:val="0"/>
              <w:adjustRightInd w:val="0"/>
              <w:ind w:left="360"/>
              <w:jc w:val="both"/>
              <w:rPr>
                <w:rFonts w:ascii="Tahoma" w:hAnsi="Tahoma" w:cs="Tahoma"/>
              </w:rPr>
            </w:pPr>
          </w:p>
        </w:tc>
      </w:tr>
    </w:tbl>
    <w:p w14:paraId="7A942B49" w14:textId="77777777" w:rsidR="00424FC1" w:rsidRDefault="00424FC1" w:rsidP="0070718C">
      <w:pPr>
        <w:autoSpaceDE w:val="0"/>
        <w:autoSpaceDN w:val="0"/>
        <w:adjustRightInd w:val="0"/>
        <w:spacing w:after="0" w:line="240" w:lineRule="auto"/>
        <w:jc w:val="both"/>
        <w:rPr>
          <w:rFonts w:ascii="Tahoma" w:hAnsi="Tahoma" w:cs="Tahoma"/>
          <w:lang w:val="en-US"/>
        </w:rPr>
      </w:pPr>
      <w:r>
        <w:rPr>
          <w:rFonts w:ascii="Tahoma" w:hAnsi="Tahoma" w:cs="Tahoma"/>
          <w:lang w:val="en-US"/>
        </w:rPr>
        <w:br w:type="page"/>
      </w:r>
    </w:p>
    <w:p w14:paraId="214D7F77" w14:textId="77777777" w:rsidR="00424FC1" w:rsidRPr="00424FC1" w:rsidRDefault="00424FC1" w:rsidP="00424FC1">
      <w:pPr>
        <w:jc w:val="both"/>
        <w:rPr>
          <w:rFonts w:ascii="Tahoma" w:hAnsi="Tahoma" w:cs="Tahoma"/>
          <w:b/>
          <w:lang w:val="en-US"/>
        </w:rPr>
      </w:pPr>
      <w:r w:rsidRPr="00424FC1">
        <w:rPr>
          <w:rFonts w:ascii="Tahoma" w:hAnsi="Tahoma" w:cs="Tahoma"/>
          <w:b/>
          <w:lang w:val="en-US"/>
        </w:rPr>
        <w:t>Annex A: Extracts of best practices on ASRHR practices in SADC</w:t>
      </w:r>
    </w:p>
    <w:p w14:paraId="351FBA18" w14:textId="77777777" w:rsidR="00424FC1" w:rsidRPr="002064C1" w:rsidRDefault="001768E4" w:rsidP="00424FC1">
      <w:pPr>
        <w:jc w:val="both"/>
        <w:rPr>
          <w:rFonts w:ascii="Tahoma" w:hAnsi="Tahoma" w:cs="Tahoma"/>
          <w:b/>
          <w:lang w:val="en-US"/>
        </w:rPr>
      </w:pPr>
      <w:r>
        <w:rPr>
          <w:rFonts w:ascii="Tahoma" w:hAnsi="Tahoma" w:cs="Tahoma"/>
          <w:b/>
          <w:lang w:val="en-US"/>
        </w:rPr>
        <w:t xml:space="preserve">Extract 1: </w:t>
      </w:r>
      <w:r w:rsidR="00424FC1" w:rsidRPr="002064C1">
        <w:rPr>
          <w:rFonts w:ascii="Tahoma" w:hAnsi="Tahoma" w:cs="Tahoma"/>
          <w:b/>
          <w:lang w:val="en-US"/>
        </w:rPr>
        <w:t>Access to contraception including emergency contraception</w:t>
      </w:r>
    </w:p>
    <w:p w14:paraId="1D32F799" w14:textId="77777777" w:rsidR="00424FC1" w:rsidRDefault="00424FC1" w:rsidP="00424FC1">
      <w:pPr>
        <w:pStyle w:val="Default"/>
        <w:jc w:val="both"/>
        <w:rPr>
          <w:rFonts w:ascii="Tahoma" w:hAnsi="Tahoma" w:cs="Tahoma"/>
          <w:sz w:val="22"/>
          <w:szCs w:val="22"/>
        </w:rPr>
      </w:pPr>
      <w:r>
        <w:rPr>
          <w:rFonts w:ascii="Tahoma" w:hAnsi="Tahoma" w:cs="Tahoma"/>
          <w:noProof/>
          <w:sz w:val="22"/>
          <w:szCs w:val="22"/>
          <w:lang w:val="en-ZA" w:eastAsia="en-ZA"/>
        </w:rPr>
        <w:drawing>
          <wp:inline distT="0" distB="0" distL="0" distR="0" wp14:anchorId="4AA4CDDE" wp14:editId="2F7A995D">
            <wp:extent cx="5731510" cy="25044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 year old access contraceptives.JPG"/>
                    <pic:cNvPicPr/>
                  </pic:nvPicPr>
                  <pic:blipFill>
                    <a:blip r:embed="rId15">
                      <a:extLst>
                        <a:ext uri="{28A0092B-C50C-407E-A947-70E740481C1C}">
                          <a14:useLocalDpi xmlns:a14="http://schemas.microsoft.com/office/drawing/2010/main" val="0"/>
                        </a:ext>
                      </a:extLst>
                    </a:blip>
                    <a:stretch>
                      <a:fillRect/>
                    </a:stretch>
                  </pic:blipFill>
                  <pic:spPr>
                    <a:xfrm>
                      <a:off x="0" y="0"/>
                      <a:ext cx="5731510" cy="2504440"/>
                    </a:xfrm>
                    <a:prstGeom prst="rect">
                      <a:avLst/>
                    </a:prstGeom>
                  </pic:spPr>
                </pic:pic>
              </a:graphicData>
            </a:graphic>
          </wp:inline>
        </w:drawing>
      </w:r>
    </w:p>
    <w:p w14:paraId="475169FF" w14:textId="77777777" w:rsidR="00424FC1" w:rsidRPr="00DF06C6" w:rsidRDefault="00424FC1" w:rsidP="00424FC1">
      <w:pPr>
        <w:pStyle w:val="Default"/>
        <w:jc w:val="both"/>
        <w:rPr>
          <w:rFonts w:ascii="Tahoma" w:hAnsi="Tahoma" w:cs="Tahoma"/>
          <w:i/>
          <w:sz w:val="20"/>
          <w:szCs w:val="20"/>
          <w:lang w:val="en-US"/>
        </w:rPr>
      </w:pPr>
      <w:r w:rsidRPr="00DF06C6">
        <w:rPr>
          <w:rFonts w:ascii="Tahoma" w:hAnsi="Tahoma" w:cs="Tahoma"/>
          <w:i/>
          <w:sz w:val="20"/>
          <w:szCs w:val="20"/>
        </w:rPr>
        <w:t xml:space="preserve">Source: </w:t>
      </w:r>
      <w:r w:rsidRPr="00DF06C6">
        <w:rPr>
          <w:rFonts w:ascii="Tahoma" w:hAnsi="Tahoma" w:cs="Tahoma"/>
          <w:i/>
          <w:sz w:val="20"/>
          <w:szCs w:val="20"/>
          <w:lang w:val="en-US"/>
        </w:rPr>
        <w:t>National Contraception Clinical Guidelines 2019, South Africa, pg14.</w:t>
      </w:r>
    </w:p>
    <w:p w14:paraId="195C2512" w14:textId="77777777" w:rsidR="00424FC1" w:rsidRDefault="00424FC1" w:rsidP="00424FC1">
      <w:pPr>
        <w:pStyle w:val="Default"/>
        <w:jc w:val="both"/>
        <w:rPr>
          <w:rFonts w:ascii="Tahoma" w:hAnsi="Tahoma" w:cs="Tahoma"/>
          <w:sz w:val="22"/>
          <w:szCs w:val="22"/>
        </w:rPr>
      </w:pPr>
    </w:p>
    <w:p w14:paraId="7F06D750" w14:textId="77777777" w:rsidR="00424FC1" w:rsidRPr="00DF06C6" w:rsidRDefault="001768E4" w:rsidP="00424FC1">
      <w:pPr>
        <w:pStyle w:val="Default"/>
        <w:jc w:val="both"/>
        <w:rPr>
          <w:rFonts w:ascii="Tahoma" w:hAnsi="Tahoma" w:cs="Tahoma"/>
          <w:b/>
          <w:sz w:val="22"/>
          <w:szCs w:val="22"/>
        </w:rPr>
      </w:pPr>
      <w:r>
        <w:rPr>
          <w:rFonts w:ascii="Tahoma" w:hAnsi="Tahoma" w:cs="Tahoma"/>
          <w:b/>
          <w:sz w:val="22"/>
          <w:szCs w:val="22"/>
        </w:rPr>
        <w:t xml:space="preserve">Extract 2: </w:t>
      </w:r>
      <w:r w:rsidR="00424FC1" w:rsidRPr="00DF06C6">
        <w:rPr>
          <w:rFonts w:ascii="Tahoma" w:hAnsi="Tahoma" w:cs="Tahoma"/>
          <w:b/>
          <w:sz w:val="22"/>
          <w:szCs w:val="22"/>
        </w:rPr>
        <w:t>Emergency Contraception</w:t>
      </w:r>
    </w:p>
    <w:p w14:paraId="447F059C" w14:textId="77777777" w:rsidR="00424FC1" w:rsidRPr="004D397E" w:rsidRDefault="00424FC1" w:rsidP="00424FC1">
      <w:pPr>
        <w:pStyle w:val="Default"/>
        <w:shd w:val="clear" w:color="auto" w:fill="F2F2F2" w:themeFill="background1" w:themeFillShade="F2"/>
        <w:jc w:val="both"/>
        <w:rPr>
          <w:rFonts w:ascii="Tahoma" w:hAnsi="Tahoma" w:cs="Tahoma"/>
          <w:sz w:val="22"/>
          <w:szCs w:val="22"/>
        </w:rPr>
      </w:pPr>
      <w:r w:rsidRPr="004D397E">
        <w:rPr>
          <w:rFonts w:ascii="Tahoma" w:hAnsi="Tahoma" w:cs="Tahoma"/>
          <w:sz w:val="22"/>
          <w:szCs w:val="22"/>
        </w:rPr>
        <w:t xml:space="preserve">Relatively effective if used within 120 hours (5 days) after unprotected sex, but the sooner the more effective. </w:t>
      </w:r>
    </w:p>
    <w:p w14:paraId="5806FABA" w14:textId="77777777" w:rsidR="00424FC1" w:rsidRPr="004D397E" w:rsidRDefault="00424FC1" w:rsidP="00424FC1">
      <w:pPr>
        <w:pStyle w:val="Default"/>
        <w:shd w:val="clear" w:color="auto" w:fill="F2F2F2" w:themeFill="background1" w:themeFillShade="F2"/>
        <w:jc w:val="both"/>
        <w:rPr>
          <w:rFonts w:ascii="Tahoma" w:hAnsi="Tahoma" w:cs="Tahoma"/>
          <w:sz w:val="22"/>
          <w:szCs w:val="22"/>
        </w:rPr>
      </w:pPr>
      <w:r w:rsidRPr="004D397E">
        <w:rPr>
          <w:rStyle w:val="A20"/>
          <w:rFonts w:ascii="Tahoma" w:hAnsi="Tahoma" w:cs="Tahoma"/>
        </w:rPr>
        <w:t xml:space="preserve">• </w:t>
      </w:r>
      <w:r w:rsidRPr="004D397E">
        <w:rPr>
          <w:rFonts w:ascii="Tahoma" w:hAnsi="Tahoma" w:cs="Tahoma"/>
          <w:sz w:val="22"/>
          <w:szCs w:val="22"/>
        </w:rPr>
        <w:t xml:space="preserve">For many young people, sexual activity can be sporadic, unplanned, and possibly non-consensual. It is important for young people to know about, and have easy access to, emergency contraception. </w:t>
      </w:r>
    </w:p>
    <w:p w14:paraId="1ECD8F3C" w14:textId="77777777" w:rsidR="00424FC1" w:rsidRPr="004D397E" w:rsidRDefault="00424FC1" w:rsidP="00424FC1">
      <w:pPr>
        <w:pStyle w:val="Default"/>
        <w:shd w:val="clear" w:color="auto" w:fill="F2F2F2" w:themeFill="background1" w:themeFillShade="F2"/>
        <w:jc w:val="both"/>
        <w:rPr>
          <w:rFonts w:ascii="Tahoma" w:hAnsi="Tahoma" w:cs="Tahoma"/>
          <w:sz w:val="22"/>
          <w:szCs w:val="22"/>
        </w:rPr>
      </w:pPr>
      <w:r w:rsidRPr="004D397E">
        <w:rPr>
          <w:rStyle w:val="A20"/>
          <w:rFonts w:ascii="Tahoma" w:hAnsi="Tahoma" w:cs="Tahoma"/>
        </w:rPr>
        <w:t xml:space="preserve">• </w:t>
      </w:r>
      <w:r w:rsidRPr="004D397E">
        <w:rPr>
          <w:rFonts w:ascii="Tahoma" w:hAnsi="Tahoma" w:cs="Tahoma"/>
          <w:sz w:val="22"/>
          <w:szCs w:val="22"/>
        </w:rPr>
        <w:t xml:space="preserve">Useful after contraceptive accidents, such as condom breakage or missed pills. </w:t>
      </w:r>
    </w:p>
    <w:p w14:paraId="4EFCA638" w14:textId="77777777" w:rsidR="00424FC1" w:rsidRPr="004D397E" w:rsidRDefault="00424FC1" w:rsidP="00424FC1">
      <w:pPr>
        <w:pStyle w:val="Default"/>
        <w:shd w:val="clear" w:color="auto" w:fill="F2F2F2" w:themeFill="background1" w:themeFillShade="F2"/>
        <w:jc w:val="both"/>
        <w:rPr>
          <w:rFonts w:ascii="Tahoma" w:hAnsi="Tahoma" w:cs="Tahoma"/>
          <w:sz w:val="22"/>
          <w:szCs w:val="22"/>
        </w:rPr>
      </w:pPr>
      <w:r w:rsidRPr="004D397E">
        <w:rPr>
          <w:rStyle w:val="A20"/>
          <w:rFonts w:ascii="Tahoma" w:hAnsi="Tahoma" w:cs="Tahoma"/>
        </w:rPr>
        <w:t xml:space="preserve">• </w:t>
      </w:r>
      <w:r w:rsidRPr="004D397E">
        <w:rPr>
          <w:rFonts w:ascii="Tahoma" w:hAnsi="Tahoma" w:cs="Tahoma"/>
          <w:sz w:val="22"/>
          <w:szCs w:val="22"/>
        </w:rPr>
        <w:t xml:space="preserve">Emergency contraception is not recommended as a regular contraceptive method and does not protect against the transmission of STIs and HIV. </w:t>
      </w:r>
    </w:p>
    <w:p w14:paraId="4D819FBD" w14:textId="77777777" w:rsidR="00424FC1" w:rsidRPr="004D397E" w:rsidRDefault="00424FC1" w:rsidP="00424FC1">
      <w:pPr>
        <w:pStyle w:val="Default"/>
        <w:shd w:val="clear" w:color="auto" w:fill="F2F2F2" w:themeFill="background1" w:themeFillShade="F2"/>
        <w:jc w:val="both"/>
        <w:rPr>
          <w:rFonts w:ascii="Tahoma" w:hAnsi="Tahoma" w:cs="Tahoma"/>
          <w:sz w:val="22"/>
          <w:szCs w:val="22"/>
        </w:rPr>
      </w:pPr>
      <w:r w:rsidRPr="004D397E">
        <w:rPr>
          <w:rStyle w:val="A20"/>
          <w:rFonts w:ascii="Tahoma" w:hAnsi="Tahoma" w:cs="Tahoma"/>
        </w:rPr>
        <w:t xml:space="preserve">• </w:t>
      </w:r>
      <w:r w:rsidRPr="004D397E">
        <w:rPr>
          <w:rFonts w:ascii="Tahoma" w:hAnsi="Tahoma" w:cs="Tahoma"/>
          <w:sz w:val="22"/>
          <w:szCs w:val="22"/>
        </w:rPr>
        <w:t xml:space="preserve">Condom use should be actively promoted. </w:t>
      </w:r>
    </w:p>
    <w:p w14:paraId="00D9F6FF" w14:textId="77777777" w:rsidR="001768E4" w:rsidRDefault="001768E4" w:rsidP="001768E4">
      <w:pPr>
        <w:shd w:val="clear" w:color="auto" w:fill="F2F2F2" w:themeFill="background1" w:themeFillShade="F2"/>
        <w:spacing w:after="0"/>
        <w:jc w:val="both"/>
        <w:rPr>
          <w:rFonts w:ascii="Tahoma" w:hAnsi="Tahoma" w:cs="Tahoma"/>
          <w:sz w:val="20"/>
          <w:szCs w:val="20"/>
          <w:lang w:val="en-US"/>
        </w:rPr>
      </w:pPr>
    </w:p>
    <w:p w14:paraId="44E5463D" w14:textId="77777777" w:rsidR="00424FC1" w:rsidRPr="00DF06C6" w:rsidRDefault="00424FC1" w:rsidP="00424FC1">
      <w:pPr>
        <w:shd w:val="clear" w:color="auto" w:fill="F2F2F2" w:themeFill="background1" w:themeFillShade="F2"/>
        <w:jc w:val="both"/>
        <w:rPr>
          <w:rFonts w:ascii="Tahoma" w:hAnsi="Tahoma" w:cs="Tahoma"/>
          <w:sz w:val="20"/>
          <w:szCs w:val="20"/>
          <w:lang w:val="en-US"/>
        </w:rPr>
      </w:pPr>
      <w:r w:rsidRPr="00DF06C6">
        <w:rPr>
          <w:rFonts w:ascii="Tahoma" w:hAnsi="Tahoma" w:cs="Tahoma"/>
          <w:sz w:val="20"/>
          <w:szCs w:val="20"/>
          <w:lang w:val="en-US"/>
        </w:rPr>
        <w:t>Source: National Contraception Clinical Guidelines 2019, South Africa.</w:t>
      </w:r>
    </w:p>
    <w:p w14:paraId="2AC47571" w14:textId="77777777" w:rsidR="00592198" w:rsidRDefault="00592198" w:rsidP="00592198">
      <w:pPr>
        <w:jc w:val="both"/>
        <w:rPr>
          <w:rFonts w:ascii="Tahoma" w:hAnsi="Tahoma" w:cs="Tahoma"/>
          <w:b/>
          <w:lang w:val="en-US"/>
        </w:rPr>
      </w:pPr>
    </w:p>
    <w:p w14:paraId="4DDA48D7" w14:textId="77777777" w:rsidR="00424FC1" w:rsidRPr="00340219" w:rsidRDefault="001768E4" w:rsidP="00592198">
      <w:pPr>
        <w:shd w:val="clear" w:color="auto" w:fill="F2F2F2" w:themeFill="background1" w:themeFillShade="F2"/>
        <w:jc w:val="both"/>
        <w:rPr>
          <w:rFonts w:ascii="Tahoma" w:hAnsi="Tahoma" w:cs="Tahoma"/>
          <w:b/>
          <w:lang w:val="en-US"/>
        </w:rPr>
      </w:pPr>
      <w:r>
        <w:rPr>
          <w:rFonts w:ascii="Tahoma" w:hAnsi="Tahoma" w:cs="Tahoma"/>
          <w:b/>
          <w:lang w:val="en-US"/>
        </w:rPr>
        <w:t xml:space="preserve">Extract 3: </w:t>
      </w:r>
      <w:r w:rsidR="00424FC1">
        <w:rPr>
          <w:rFonts w:ascii="Tahoma" w:hAnsi="Tahoma" w:cs="Tahoma"/>
          <w:b/>
          <w:lang w:val="en-US"/>
        </w:rPr>
        <w:t xml:space="preserve">Unrestricted </w:t>
      </w:r>
      <w:r w:rsidR="00424FC1" w:rsidRPr="00340219">
        <w:rPr>
          <w:rFonts w:ascii="Tahoma" w:hAnsi="Tahoma" w:cs="Tahoma"/>
          <w:b/>
          <w:lang w:val="en-US"/>
        </w:rPr>
        <w:t>Abortion</w:t>
      </w:r>
    </w:p>
    <w:p w14:paraId="4A29434F" w14:textId="77777777" w:rsidR="00424FC1" w:rsidRPr="00340219" w:rsidRDefault="00424FC1" w:rsidP="00424FC1">
      <w:pPr>
        <w:shd w:val="clear" w:color="auto" w:fill="F2F2F2" w:themeFill="background1" w:themeFillShade="F2"/>
        <w:jc w:val="both"/>
        <w:rPr>
          <w:rFonts w:ascii="Tahoma" w:hAnsi="Tahoma" w:cs="Tahoma"/>
        </w:rPr>
      </w:pPr>
      <w:r w:rsidRPr="00340219">
        <w:rPr>
          <w:rFonts w:ascii="Tahoma" w:hAnsi="Tahoma" w:cs="Tahoma"/>
          <w:b/>
          <w:lang w:val="en-US"/>
        </w:rPr>
        <w:t>South Africa:</w:t>
      </w:r>
      <w:r w:rsidRPr="00340219">
        <w:rPr>
          <w:rFonts w:ascii="Tahoma" w:hAnsi="Tahoma" w:cs="Tahoma"/>
          <w:lang w:val="en-US"/>
        </w:rPr>
        <w:t xml:space="preserve"> </w:t>
      </w:r>
      <w:r w:rsidRPr="00340219">
        <w:rPr>
          <w:rFonts w:ascii="Tahoma" w:hAnsi="Tahoma" w:cs="Tahoma"/>
        </w:rPr>
        <w:t xml:space="preserve">No age restriction at which a child may choose to terminate her pregnancy. Termination of Pregnancy Act 92 of 1996. Sections 1, 5(2) and 5(3). Read with section 129(1) of the Children’s Act 38 of 2005; </w:t>
      </w:r>
    </w:p>
    <w:p w14:paraId="2C081A6C" w14:textId="77777777" w:rsidR="00424FC1" w:rsidRPr="00DF06C6" w:rsidRDefault="00424FC1" w:rsidP="00424FC1">
      <w:pPr>
        <w:shd w:val="clear" w:color="auto" w:fill="F2F2F2" w:themeFill="background1" w:themeFillShade="F2"/>
        <w:jc w:val="both"/>
        <w:rPr>
          <w:rFonts w:ascii="Tahoma" w:hAnsi="Tahoma" w:cs="Tahoma"/>
          <w:sz w:val="20"/>
          <w:szCs w:val="20"/>
          <w:lang w:val="en-US"/>
        </w:rPr>
      </w:pPr>
      <w:r w:rsidRPr="00DF06C6">
        <w:rPr>
          <w:rFonts w:ascii="Tahoma" w:hAnsi="Tahoma" w:cs="Tahoma"/>
          <w:sz w:val="20"/>
          <w:szCs w:val="20"/>
          <w:lang w:val="en-US"/>
        </w:rPr>
        <w:t>Source: National Contraception Clinical Guidelines 2019, South Africa.</w:t>
      </w:r>
      <w:r>
        <w:rPr>
          <w:rFonts w:ascii="Tahoma" w:hAnsi="Tahoma" w:cs="Tahoma"/>
          <w:sz w:val="20"/>
          <w:szCs w:val="20"/>
          <w:lang w:val="en-US"/>
        </w:rPr>
        <w:t xml:space="preserve"> Pg41</w:t>
      </w:r>
    </w:p>
    <w:p w14:paraId="4DEA6A37" w14:textId="77777777" w:rsidR="00592198" w:rsidRDefault="00592198" w:rsidP="00592198">
      <w:pPr>
        <w:jc w:val="both"/>
        <w:rPr>
          <w:rFonts w:ascii="Tahoma" w:hAnsi="Tahoma" w:cs="Tahoma"/>
          <w:b/>
        </w:rPr>
      </w:pPr>
    </w:p>
    <w:p w14:paraId="34F996AC" w14:textId="77777777" w:rsidR="00424FC1" w:rsidRPr="004B0BB2" w:rsidRDefault="001768E4" w:rsidP="003769D5">
      <w:pPr>
        <w:shd w:val="clear" w:color="auto" w:fill="F2F2F2" w:themeFill="background1" w:themeFillShade="F2"/>
        <w:jc w:val="both"/>
        <w:rPr>
          <w:rFonts w:ascii="Tahoma" w:hAnsi="Tahoma" w:cs="Tahoma"/>
          <w:b/>
        </w:rPr>
      </w:pPr>
      <w:r>
        <w:rPr>
          <w:rFonts w:ascii="Tahoma" w:hAnsi="Tahoma" w:cs="Tahoma"/>
          <w:b/>
        </w:rPr>
        <w:t xml:space="preserve">Extract 4: </w:t>
      </w:r>
      <w:r w:rsidR="00424FC1" w:rsidRPr="004B0BB2">
        <w:rPr>
          <w:rFonts w:ascii="Tahoma" w:hAnsi="Tahoma" w:cs="Tahoma"/>
          <w:b/>
        </w:rPr>
        <w:t>Re-entry policies for Teenage pregnancies</w:t>
      </w:r>
    </w:p>
    <w:p w14:paraId="66162464" w14:textId="77777777" w:rsidR="00424FC1" w:rsidRPr="0036605E" w:rsidRDefault="00424FC1" w:rsidP="00592198">
      <w:pPr>
        <w:shd w:val="clear" w:color="auto" w:fill="F2F2F2" w:themeFill="background1" w:themeFillShade="F2"/>
        <w:spacing w:after="0"/>
        <w:jc w:val="both"/>
        <w:rPr>
          <w:rFonts w:ascii="Tahoma" w:hAnsi="Tahoma" w:cs="Tahoma"/>
        </w:rPr>
      </w:pPr>
      <w:r w:rsidRPr="0036605E">
        <w:rPr>
          <w:rFonts w:ascii="Tahoma" w:hAnsi="Tahoma" w:cs="Tahoma"/>
        </w:rPr>
        <w:t>Some governments have focused on tackling these barriers, as well as the root causes of teenage pregnancies and school dropouts, for example by:</w:t>
      </w:r>
    </w:p>
    <w:p w14:paraId="7A7EFD58" w14:textId="77777777" w:rsidR="00424FC1" w:rsidRPr="0036605E" w:rsidRDefault="00424FC1" w:rsidP="003769D5">
      <w:pPr>
        <w:pStyle w:val="ListParagraph"/>
        <w:numPr>
          <w:ilvl w:val="0"/>
          <w:numId w:val="25"/>
        </w:numPr>
        <w:shd w:val="clear" w:color="auto" w:fill="F2F2F2" w:themeFill="background1" w:themeFillShade="F2"/>
        <w:spacing w:after="0" w:line="240" w:lineRule="auto"/>
        <w:jc w:val="both"/>
        <w:rPr>
          <w:rFonts w:ascii="Tahoma" w:hAnsi="Tahoma" w:cs="Tahoma"/>
        </w:rPr>
      </w:pPr>
      <w:r w:rsidRPr="0036605E">
        <w:rPr>
          <w:rFonts w:ascii="Tahoma" w:hAnsi="Tahoma" w:cs="Tahoma"/>
        </w:rPr>
        <w:t>Providing social and financial support for adolescent mothers, as in South Africa;</w:t>
      </w:r>
    </w:p>
    <w:p w14:paraId="74CA242F" w14:textId="77777777" w:rsidR="00424FC1" w:rsidRPr="0036605E" w:rsidRDefault="00424FC1" w:rsidP="003769D5">
      <w:pPr>
        <w:pStyle w:val="ListParagraph"/>
        <w:numPr>
          <w:ilvl w:val="0"/>
          <w:numId w:val="25"/>
        </w:numPr>
        <w:shd w:val="clear" w:color="auto" w:fill="F2F2F2" w:themeFill="background1" w:themeFillShade="F2"/>
        <w:spacing w:after="0" w:line="240" w:lineRule="auto"/>
        <w:jc w:val="both"/>
        <w:rPr>
          <w:rFonts w:ascii="Tahoma" w:hAnsi="Tahoma" w:cs="Tahoma"/>
        </w:rPr>
      </w:pPr>
      <w:r w:rsidRPr="0036605E">
        <w:rPr>
          <w:rFonts w:ascii="Tahoma" w:hAnsi="Tahoma" w:cs="Tahoma"/>
        </w:rPr>
        <w:t>Providing girls with a choice of access to morning or evening shifts, as in Zambia;</w:t>
      </w:r>
    </w:p>
    <w:p w14:paraId="09DB0BCC" w14:textId="77777777" w:rsidR="00424FC1" w:rsidRPr="0036605E" w:rsidRDefault="00424FC1" w:rsidP="003769D5">
      <w:pPr>
        <w:pStyle w:val="ListParagraph"/>
        <w:numPr>
          <w:ilvl w:val="0"/>
          <w:numId w:val="25"/>
        </w:numPr>
        <w:shd w:val="clear" w:color="auto" w:fill="F2F2F2" w:themeFill="background1" w:themeFillShade="F2"/>
        <w:spacing w:after="0" w:line="240" w:lineRule="auto"/>
        <w:jc w:val="both"/>
        <w:rPr>
          <w:rFonts w:ascii="Tahoma" w:hAnsi="Tahoma" w:cs="Tahoma"/>
        </w:rPr>
      </w:pPr>
      <w:r w:rsidRPr="0036605E">
        <w:rPr>
          <w:rFonts w:ascii="Tahoma" w:hAnsi="Tahoma" w:cs="Tahoma"/>
        </w:rPr>
        <w:t>Providing school-based counselling services for pregnant girls and adolescent mothers, as in Malawi; and</w:t>
      </w:r>
    </w:p>
    <w:p w14:paraId="33605A2A" w14:textId="77777777" w:rsidR="00424FC1" w:rsidRPr="0036605E" w:rsidRDefault="00424FC1" w:rsidP="003769D5">
      <w:pPr>
        <w:pStyle w:val="ListParagraph"/>
        <w:numPr>
          <w:ilvl w:val="0"/>
          <w:numId w:val="25"/>
        </w:numPr>
        <w:shd w:val="clear" w:color="auto" w:fill="F2F2F2" w:themeFill="background1" w:themeFillShade="F2"/>
        <w:spacing w:after="0" w:line="240" w:lineRule="auto"/>
        <w:jc w:val="both"/>
        <w:rPr>
          <w:rFonts w:ascii="Tahoma" w:hAnsi="Tahoma" w:cs="Tahoma"/>
        </w:rPr>
      </w:pPr>
      <w:r w:rsidRPr="0036605E">
        <w:rPr>
          <w:rFonts w:ascii="Tahoma" w:hAnsi="Tahoma" w:cs="Tahoma"/>
        </w:rPr>
        <w:t>Facilitating access to sexual and reproductive health services, including comprehensive sexuality education at school and in the community, as in Ivory Coast, and access to a range of contraceptive methods, and in South Africa, safe and legal abortion.</w:t>
      </w:r>
    </w:p>
    <w:p w14:paraId="126FDAEC" w14:textId="77777777" w:rsidR="00424FC1" w:rsidRDefault="00424FC1" w:rsidP="003769D5">
      <w:pPr>
        <w:shd w:val="clear" w:color="auto" w:fill="F2F2F2" w:themeFill="background1" w:themeFillShade="F2"/>
        <w:jc w:val="both"/>
        <w:rPr>
          <w:rFonts w:ascii="Tahoma" w:hAnsi="Tahoma" w:cs="Tahoma"/>
        </w:rPr>
      </w:pPr>
      <w:r w:rsidRPr="0036605E">
        <w:rPr>
          <w:rFonts w:ascii="Tahoma" w:hAnsi="Tahoma" w:cs="Tahoma"/>
        </w:rPr>
        <w:t>Despite these positive steps by some African countries, a significant number still impose laws and policies that directly discriminate against pregnant girls and adolescent mothers in education. For example, Equatorial Guinea, Sierra Leone, and Tanzania expel pregnant girls from school and deny adolescent mothers the right to study in public schools. In most cases, such policies end a girl’s chances of ever going back to school, and expose her and her children to child marriage, hardship, and abuse. In practice, girls are expelled, but not the boys responsible for the pregnancy where they are also in school.</w:t>
      </w:r>
    </w:p>
    <w:p w14:paraId="682E4528" w14:textId="77777777" w:rsidR="00424FC1" w:rsidRPr="00404F73" w:rsidRDefault="00424FC1" w:rsidP="003769D5">
      <w:pPr>
        <w:shd w:val="clear" w:color="auto" w:fill="F2F2F2" w:themeFill="background1" w:themeFillShade="F2"/>
        <w:jc w:val="both"/>
        <w:rPr>
          <w:rFonts w:ascii="Tahoma" w:hAnsi="Tahoma" w:cs="Tahoma"/>
          <w:sz w:val="20"/>
          <w:szCs w:val="20"/>
        </w:rPr>
      </w:pPr>
      <w:r w:rsidRPr="00404F73">
        <w:rPr>
          <w:rFonts w:ascii="Tahoma" w:hAnsi="Tahoma" w:cs="Tahoma"/>
          <w:sz w:val="20"/>
          <w:szCs w:val="20"/>
        </w:rPr>
        <w:t xml:space="preserve">Source: Human Rights Watch, </w:t>
      </w:r>
      <w:hyperlink r:id="rId16" w:history="1">
        <w:r w:rsidRPr="00404F73">
          <w:rPr>
            <w:rStyle w:val="Hyperlink"/>
            <w:rFonts w:ascii="Tahoma" w:hAnsi="Tahoma" w:cs="Tahoma"/>
            <w:sz w:val="20"/>
            <w:szCs w:val="20"/>
          </w:rPr>
          <w:t>https://www.hrw.org/report/2018/06/14/leave-no-girl-behind-africa/discrimination-education-against-pregnant-girls-and</w:t>
        </w:r>
      </w:hyperlink>
      <w:r w:rsidRPr="00404F73">
        <w:rPr>
          <w:rFonts w:ascii="Tahoma" w:hAnsi="Tahoma" w:cs="Tahoma"/>
          <w:sz w:val="20"/>
          <w:szCs w:val="20"/>
        </w:rPr>
        <w:t>, accessed 10 September 2021.</w:t>
      </w:r>
    </w:p>
    <w:p w14:paraId="521FFCED" w14:textId="77777777" w:rsidR="00592198" w:rsidRDefault="00592198" w:rsidP="00592198">
      <w:pPr>
        <w:jc w:val="both"/>
        <w:rPr>
          <w:rFonts w:ascii="Tahoma" w:hAnsi="Tahoma" w:cs="Tahoma"/>
          <w:b/>
        </w:rPr>
      </w:pPr>
    </w:p>
    <w:p w14:paraId="3036F16E" w14:textId="77777777" w:rsidR="00424FC1" w:rsidRPr="000A22A6" w:rsidRDefault="001768E4" w:rsidP="003769D5">
      <w:pPr>
        <w:shd w:val="clear" w:color="auto" w:fill="F2F2F2" w:themeFill="background1" w:themeFillShade="F2"/>
        <w:jc w:val="both"/>
        <w:rPr>
          <w:rFonts w:ascii="Tahoma" w:hAnsi="Tahoma" w:cs="Tahoma"/>
          <w:b/>
        </w:rPr>
      </w:pPr>
      <w:r>
        <w:rPr>
          <w:rFonts w:ascii="Tahoma" w:hAnsi="Tahoma" w:cs="Tahoma"/>
          <w:b/>
        </w:rPr>
        <w:t xml:space="preserve">Extract 5: </w:t>
      </w:r>
      <w:r w:rsidR="00424FC1" w:rsidRPr="000A22A6">
        <w:rPr>
          <w:rFonts w:ascii="Tahoma" w:hAnsi="Tahoma" w:cs="Tahoma"/>
          <w:b/>
        </w:rPr>
        <w:t>Economic empowerment of Adolescents</w:t>
      </w:r>
    </w:p>
    <w:p w14:paraId="46D8E0ED" w14:textId="77777777" w:rsidR="00E1207B" w:rsidRPr="001768E4" w:rsidRDefault="00E1207B" w:rsidP="003769D5">
      <w:pPr>
        <w:shd w:val="clear" w:color="auto" w:fill="F2F2F2" w:themeFill="background1" w:themeFillShade="F2"/>
        <w:jc w:val="both"/>
        <w:rPr>
          <w:rFonts w:ascii="Tahoma" w:hAnsi="Tahoma" w:cs="Tahoma"/>
          <w:b/>
        </w:rPr>
      </w:pPr>
      <w:r w:rsidRPr="001768E4">
        <w:rPr>
          <w:rFonts w:ascii="Tahoma" w:hAnsi="Tahoma" w:cs="Tahoma"/>
          <w:b/>
        </w:rPr>
        <w:t>Solution pathway 1: Economic empowerment of families, adolescents an</w:t>
      </w:r>
      <w:r w:rsidR="00F57EBD" w:rsidRPr="001768E4">
        <w:rPr>
          <w:rFonts w:ascii="Tahoma" w:hAnsi="Tahoma" w:cs="Tahoma"/>
          <w:b/>
        </w:rPr>
        <w:t>d</w:t>
      </w:r>
      <w:r w:rsidRPr="001768E4">
        <w:rPr>
          <w:rFonts w:ascii="Tahoma" w:hAnsi="Tahoma" w:cs="Tahoma"/>
          <w:b/>
        </w:rPr>
        <w:t xml:space="preserve"> </w:t>
      </w:r>
      <w:r w:rsidR="00F57EBD" w:rsidRPr="001768E4">
        <w:rPr>
          <w:rFonts w:ascii="Tahoma" w:hAnsi="Tahoma" w:cs="Tahoma"/>
          <w:b/>
        </w:rPr>
        <w:t xml:space="preserve">young people will lead to </w:t>
      </w:r>
      <w:r w:rsidRPr="001768E4">
        <w:rPr>
          <w:rFonts w:ascii="Tahoma" w:hAnsi="Tahoma" w:cs="Tahoma"/>
          <w:b/>
        </w:rPr>
        <w:t xml:space="preserve">reduced school drop outs and harmful behaviours that increase </w:t>
      </w:r>
      <w:r w:rsidR="00F57EBD" w:rsidRPr="001768E4">
        <w:rPr>
          <w:rFonts w:ascii="Tahoma" w:hAnsi="Tahoma" w:cs="Tahoma"/>
          <w:b/>
        </w:rPr>
        <w:t xml:space="preserve">vulnerability </w:t>
      </w:r>
      <w:r w:rsidRPr="001768E4">
        <w:rPr>
          <w:rFonts w:ascii="Tahoma" w:hAnsi="Tahoma" w:cs="Tahoma"/>
          <w:b/>
        </w:rPr>
        <w:t>to ASRH risks among</w:t>
      </w:r>
      <w:r w:rsidR="00F57EBD" w:rsidRPr="001768E4">
        <w:rPr>
          <w:rFonts w:ascii="Tahoma" w:hAnsi="Tahoma" w:cs="Tahoma"/>
          <w:b/>
        </w:rPr>
        <w:t xml:space="preserve"> young people and adolescents.</w:t>
      </w:r>
    </w:p>
    <w:p w14:paraId="0939C762" w14:textId="77777777" w:rsidR="00E1207B" w:rsidRPr="00E1207B" w:rsidRDefault="00E1207B" w:rsidP="003769D5">
      <w:pPr>
        <w:shd w:val="clear" w:color="auto" w:fill="F2F2F2" w:themeFill="background1" w:themeFillShade="F2"/>
        <w:jc w:val="both"/>
        <w:rPr>
          <w:rFonts w:ascii="Tahoma" w:hAnsi="Tahoma" w:cs="Tahoma"/>
        </w:rPr>
      </w:pPr>
      <w:r w:rsidRPr="00E1207B">
        <w:rPr>
          <w:rFonts w:ascii="Tahoma" w:hAnsi="Tahoma" w:cs="Tahoma"/>
        </w:rPr>
        <w:t>Household and you</w:t>
      </w:r>
      <w:r w:rsidR="005D1D09">
        <w:rPr>
          <w:rFonts w:ascii="Tahoma" w:hAnsi="Tahoma" w:cs="Tahoma"/>
        </w:rPr>
        <w:t>th poverty leads to a variety of</w:t>
      </w:r>
      <w:r w:rsidRPr="00E1207B">
        <w:rPr>
          <w:rFonts w:ascii="Tahoma" w:hAnsi="Tahoma" w:cs="Tahoma"/>
        </w:rPr>
        <w:t xml:space="preserve"> challenges that lend themselves to increasing the </w:t>
      </w:r>
      <w:r w:rsidR="005D1D09" w:rsidRPr="00E1207B">
        <w:rPr>
          <w:rFonts w:ascii="Tahoma" w:hAnsi="Tahoma" w:cs="Tahoma"/>
        </w:rPr>
        <w:t>vulnerability</w:t>
      </w:r>
      <w:r>
        <w:rPr>
          <w:rFonts w:ascii="Tahoma" w:hAnsi="Tahoma" w:cs="Tahoma"/>
        </w:rPr>
        <w:t xml:space="preserve"> </w:t>
      </w:r>
      <w:r w:rsidR="005D1D09">
        <w:rPr>
          <w:rFonts w:ascii="Tahoma" w:hAnsi="Tahoma" w:cs="Tahoma"/>
        </w:rPr>
        <w:t>of</w:t>
      </w:r>
      <w:r w:rsidRPr="00E1207B">
        <w:rPr>
          <w:rFonts w:ascii="Tahoma" w:hAnsi="Tahoma" w:cs="Tahoma"/>
        </w:rPr>
        <w:t xml:space="preserve"> adolescents to sexual and reproductive health risks. For</w:t>
      </w:r>
      <w:r w:rsidR="005D1D09">
        <w:rPr>
          <w:rFonts w:ascii="Tahoma" w:hAnsi="Tahoma" w:cs="Tahoma"/>
        </w:rPr>
        <w:t xml:space="preserve"> example, the MICS</w:t>
      </w:r>
      <w:r w:rsidRPr="00E1207B">
        <w:rPr>
          <w:rFonts w:ascii="Tahoma" w:hAnsi="Tahoma" w:cs="Tahoma"/>
        </w:rPr>
        <w:t xml:space="preserve"> (2014), DHS (2010) and Census</w:t>
      </w:r>
      <w:r>
        <w:rPr>
          <w:rFonts w:ascii="Tahoma" w:hAnsi="Tahoma" w:cs="Tahoma"/>
        </w:rPr>
        <w:t xml:space="preserve"> </w:t>
      </w:r>
      <w:r w:rsidR="005D1D09">
        <w:rPr>
          <w:rFonts w:ascii="Tahoma" w:hAnsi="Tahoma" w:cs="Tahoma"/>
        </w:rPr>
        <w:t>(2012) show t</w:t>
      </w:r>
      <w:r w:rsidRPr="00E1207B">
        <w:rPr>
          <w:rFonts w:ascii="Tahoma" w:hAnsi="Tahoma" w:cs="Tahoma"/>
        </w:rPr>
        <w:t xml:space="preserve">hat girls in </w:t>
      </w:r>
      <w:r w:rsidR="005D1D09">
        <w:rPr>
          <w:rFonts w:ascii="Tahoma" w:hAnsi="Tahoma" w:cs="Tahoma"/>
        </w:rPr>
        <w:t>poo</w:t>
      </w:r>
      <w:r w:rsidRPr="00E1207B">
        <w:rPr>
          <w:rFonts w:ascii="Tahoma" w:hAnsi="Tahoma" w:cs="Tahoma"/>
        </w:rPr>
        <w:t>rer</w:t>
      </w:r>
      <w:r w:rsidR="005D1D09">
        <w:rPr>
          <w:rFonts w:ascii="Tahoma" w:hAnsi="Tahoma" w:cs="Tahoma"/>
        </w:rPr>
        <w:t xml:space="preserve"> </w:t>
      </w:r>
      <w:r w:rsidR="00936DDE">
        <w:rPr>
          <w:rFonts w:ascii="Tahoma" w:hAnsi="Tahoma" w:cs="Tahoma"/>
        </w:rPr>
        <w:t>families are</w:t>
      </w:r>
      <w:r w:rsidR="005D1D09">
        <w:rPr>
          <w:rFonts w:ascii="Tahoma" w:hAnsi="Tahoma" w:cs="Tahoma"/>
        </w:rPr>
        <w:t xml:space="preserve"> likely to drop out</w:t>
      </w:r>
      <w:r w:rsidRPr="00E1207B">
        <w:rPr>
          <w:rFonts w:ascii="Tahoma" w:hAnsi="Tahoma" w:cs="Tahoma"/>
        </w:rPr>
        <w:t xml:space="preserve"> of school w</w:t>
      </w:r>
      <w:r w:rsidR="005D1D09">
        <w:rPr>
          <w:rFonts w:ascii="Tahoma" w:hAnsi="Tahoma" w:cs="Tahoma"/>
        </w:rPr>
        <w:t>hich increases their risk of eit</w:t>
      </w:r>
      <w:r w:rsidRPr="00E1207B">
        <w:rPr>
          <w:rFonts w:ascii="Tahoma" w:hAnsi="Tahoma" w:cs="Tahoma"/>
        </w:rPr>
        <w:t>her getting</w:t>
      </w:r>
      <w:r w:rsidR="005D1D09">
        <w:rPr>
          <w:rFonts w:ascii="Tahoma" w:hAnsi="Tahoma" w:cs="Tahoma"/>
        </w:rPr>
        <w:t xml:space="preserve"> </w:t>
      </w:r>
      <w:r w:rsidRPr="00E1207B">
        <w:rPr>
          <w:rFonts w:ascii="Tahoma" w:hAnsi="Tahoma" w:cs="Tahoma"/>
        </w:rPr>
        <w:t>married or railing pregnant. The Zimbabwe Youth Investment Case o</w:t>
      </w:r>
      <w:r w:rsidR="005D1D09">
        <w:rPr>
          <w:rFonts w:ascii="Tahoma" w:hAnsi="Tahoma" w:cs="Tahoma"/>
        </w:rPr>
        <w:t>f 2015, f</w:t>
      </w:r>
      <w:r w:rsidRPr="00E1207B">
        <w:rPr>
          <w:rFonts w:ascii="Tahoma" w:hAnsi="Tahoma" w:cs="Tahoma"/>
        </w:rPr>
        <w:t>ound that high unemployment</w:t>
      </w:r>
      <w:r w:rsidR="005D1D09">
        <w:rPr>
          <w:rFonts w:ascii="Tahoma" w:hAnsi="Tahoma" w:cs="Tahoma"/>
        </w:rPr>
        <w:t xml:space="preserve"> </w:t>
      </w:r>
      <w:r w:rsidRPr="00E1207B">
        <w:rPr>
          <w:rFonts w:ascii="Tahoma" w:hAnsi="Tahoma" w:cs="Tahoma"/>
        </w:rPr>
        <w:t>among youths and subsequen</w:t>
      </w:r>
      <w:r w:rsidR="005D1D09">
        <w:rPr>
          <w:rFonts w:ascii="Tahoma" w:hAnsi="Tahoma" w:cs="Tahoma"/>
        </w:rPr>
        <w:t>t</w:t>
      </w:r>
      <w:r w:rsidRPr="00E1207B">
        <w:rPr>
          <w:rFonts w:ascii="Tahoma" w:hAnsi="Tahoma" w:cs="Tahoma"/>
        </w:rPr>
        <w:t xml:space="preserve"> idleness was contributing to</w:t>
      </w:r>
      <w:r w:rsidR="00936DDE">
        <w:rPr>
          <w:rFonts w:ascii="Tahoma" w:hAnsi="Tahoma" w:cs="Tahoma"/>
        </w:rPr>
        <w:t xml:space="preserve"> increasing cases or drug, </w:t>
      </w:r>
      <w:r w:rsidR="005D1D09">
        <w:rPr>
          <w:rFonts w:ascii="Tahoma" w:hAnsi="Tahoma" w:cs="Tahoma"/>
        </w:rPr>
        <w:t>subst</w:t>
      </w:r>
      <w:r w:rsidRPr="00E1207B">
        <w:rPr>
          <w:rFonts w:ascii="Tahoma" w:hAnsi="Tahoma" w:cs="Tahoma"/>
        </w:rPr>
        <w:t>ance and alcohol</w:t>
      </w:r>
      <w:r w:rsidR="00936DDE">
        <w:rPr>
          <w:rFonts w:ascii="Tahoma" w:hAnsi="Tahoma" w:cs="Tahoma"/>
        </w:rPr>
        <w:t xml:space="preserve"> </w:t>
      </w:r>
      <w:r w:rsidRPr="00E1207B">
        <w:rPr>
          <w:rFonts w:ascii="Tahoma" w:hAnsi="Tahoma" w:cs="Tahoma"/>
        </w:rPr>
        <w:t>abuse among adolescents and young people. Suc</w:t>
      </w:r>
      <w:r w:rsidR="00936DDE">
        <w:rPr>
          <w:rFonts w:ascii="Tahoma" w:hAnsi="Tahoma" w:cs="Tahoma"/>
        </w:rPr>
        <w:t>h practices increase the risk of</w:t>
      </w:r>
      <w:r w:rsidRPr="00E1207B">
        <w:rPr>
          <w:rFonts w:ascii="Tahoma" w:hAnsi="Tahoma" w:cs="Tahoma"/>
        </w:rPr>
        <w:t xml:space="preserve"> young people participating in</w:t>
      </w:r>
      <w:r w:rsidR="00936DDE">
        <w:rPr>
          <w:rFonts w:ascii="Tahoma" w:hAnsi="Tahoma" w:cs="Tahoma"/>
        </w:rPr>
        <w:t xml:space="preserve"> </w:t>
      </w:r>
      <w:r w:rsidRPr="00E1207B">
        <w:rPr>
          <w:rFonts w:ascii="Tahoma" w:hAnsi="Tahoma" w:cs="Tahoma"/>
        </w:rPr>
        <w:t>unsa</w:t>
      </w:r>
      <w:r w:rsidR="00936DDE">
        <w:rPr>
          <w:rFonts w:ascii="Tahoma" w:hAnsi="Tahoma" w:cs="Tahoma"/>
        </w:rPr>
        <w:t>fe sexual practices which exposes them t</w:t>
      </w:r>
      <w:r w:rsidRPr="00E1207B">
        <w:rPr>
          <w:rFonts w:ascii="Tahoma" w:hAnsi="Tahoma" w:cs="Tahoma"/>
        </w:rPr>
        <w:t>o STDs, HIV and unwan</w:t>
      </w:r>
      <w:r w:rsidR="00936DDE">
        <w:rPr>
          <w:rFonts w:ascii="Tahoma" w:hAnsi="Tahoma" w:cs="Tahoma"/>
        </w:rPr>
        <w:t>t</w:t>
      </w:r>
      <w:r w:rsidRPr="00E1207B">
        <w:rPr>
          <w:rFonts w:ascii="Tahoma" w:hAnsi="Tahoma" w:cs="Tahoma"/>
        </w:rPr>
        <w:t>ed pregnancies. The same report also</w:t>
      </w:r>
      <w:r w:rsidR="00936DDE">
        <w:rPr>
          <w:rFonts w:ascii="Tahoma" w:hAnsi="Tahoma" w:cs="Tahoma"/>
        </w:rPr>
        <w:t xml:space="preserve"> </w:t>
      </w:r>
      <w:r w:rsidRPr="00E1207B">
        <w:rPr>
          <w:rFonts w:ascii="Tahoma" w:hAnsi="Tahoma" w:cs="Tahoma"/>
        </w:rPr>
        <w:t xml:space="preserve">ﬁnds </w:t>
      </w:r>
      <w:r w:rsidR="00936DDE">
        <w:rPr>
          <w:rFonts w:ascii="Tahoma" w:hAnsi="Tahoma" w:cs="Tahoma"/>
        </w:rPr>
        <w:t>that d</w:t>
      </w:r>
      <w:r w:rsidRPr="00E1207B">
        <w:rPr>
          <w:rFonts w:ascii="Tahoma" w:hAnsi="Tahoma" w:cs="Tahoma"/>
        </w:rPr>
        <w:t xml:space="preserve">ue to youth poverty, an increasing </w:t>
      </w:r>
      <w:r w:rsidR="00936DDE">
        <w:rPr>
          <w:rFonts w:ascii="Tahoma" w:hAnsi="Tahoma" w:cs="Tahoma"/>
        </w:rPr>
        <w:t>numb</w:t>
      </w:r>
      <w:r w:rsidRPr="00E1207B">
        <w:rPr>
          <w:rFonts w:ascii="Tahoma" w:hAnsi="Tahoma" w:cs="Tahoma"/>
        </w:rPr>
        <w:t>er</w:t>
      </w:r>
      <w:r w:rsidR="00936DDE">
        <w:rPr>
          <w:rFonts w:ascii="Tahoma" w:hAnsi="Tahoma" w:cs="Tahoma"/>
        </w:rPr>
        <w:t xml:space="preserve"> of adolescent</w:t>
      </w:r>
      <w:r w:rsidRPr="00E1207B">
        <w:rPr>
          <w:rFonts w:ascii="Tahoma" w:hAnsi="Tahoma" w:cs="Tahoma"/>
        </w:rPr>
        <w:t xml:space="preserve"> girls and young women were getting enrolled</w:t>
      </w:r>
    </w:p>
    <w:p w14:paraId="08A2A191" w14:textId="77777777" w:rsidR="00E1207B" w:rsidRPr="00E1207B" w:rsidRDefault="00E1207B" w:rsidP="003769D5">
      <w:pPr>
        <w:shd w:val="clear" w:color="auto" w:fill="F2F2F2" w:themeFill="background1" w:themeFillShade="F2"/>
        <w:jc w:val="both"/>
        <w:rPr>
          <w:rFonts w:ascii="Tahoma" w:hAnsi="Tahoma" w:cs="Tahoma"/>
        </w:rPr>
      </w:pPr>
      <w:r w:rsidRPr="00E1207B">
        <w:rPr>
          <w:rFonts w:ascii="Tahoma" w:hAnsi="Tahoma" w:cs="Tahoma"/>
        </w:rPr>
        <w:t>in commercial sex work especially in poor</w:t>
      </w:r>
      <w:r w:rsidR="00936DDE">
        <w:rPr>
          <w:rFonts w:ascii="Tahoma" w:hAnsi="Tahoma" w:cs="Tahoma"/>
        </w:rPr>
        <w:t xml:space="preserve"> urban </w:t>
      </w:r>
      <w:r w:rsidR="00936DDE" w:rsidRPr="00E1207B">
        <w:rPr>
          <w:rFonts w:ascii="Tahoma" w:hAnsi="Tahoma" w:cs="Tahoma"/>
        </w:rPr>
        <w:t>loc</w:t>
      </w:r>
      <w:r w:rsidR="00936DDE">
        <w:rPr>
          <w:rFonts w:ascii="Tahoma" w:hAnsi="Tahoma" w:cs="Tahoma"/>
        </w:rPr>
        <w:t>a</w:t>
      </w:r>
      <w:r w:rsidR="00936DDE" w:rsidRPr="00E1207B">
        <w:rPr>
          <w:rFonts w:ascii="Tahoma" w:hAnsi="Tahoma" w:cs="Tahoma"/>
        </w:rPr>
        <w:t>tions</w:t>
      </w:r>
      <w:r w:rsidRPr="00E1207B">
        <w:rPr>
          <w:rFonts w:ascii="Tahoma" w:hAnsi="Tahoma" w:cs="Tahoma"/>
        </w:rPr>
        <w:t>.</w:t>
      </w:r>
      <w:r w:rsidR="00936DDE">
        <w:rPr>
          <w:rFonts w:ascii="Tahoma" w:hAnsi="Tahoma" w:cs="Tahoma"/>
        </w:rPr>
        <w:t xml:space="preserve"> </w:t>
      </w:r>
      <w:r w:rsidRPr="00E1207B">
        <w:rPr>
          <w:rFonts w:ascii="Tahoma" w:hAnsi="Tahoma" w:cs="Tahoma"/>
        </w:rPr>
        <w:t xml:space="preserve">This again increases </w:t>
      </w:r>
      <w:r w:rsidR="00936DDE">
        <w:rPr>
          <w:rFonts w:ascii="Tahoma" w:hAnsi="Tahoma" w:cs="Tahoma"/>
        </w:rPr>
        <w:t>t</w:t>
      </w:r>
      <w:r w:rsidRPr="00E1207B">
        <w:rPr>
          <w:rFonts w:ascii="Tahoma" w:hAnsi="Tahoma" w:cs="Tahoma"/>
        </w:rPr>
        <w:t>heir</w:t>
      </w:r>
      <w:r w:rsidR="00936DDE">
        <w:rPr>
          <w:rFonts w:ascii="Tahoma" w:hAnsi="Tahoma" w:cs="Tahoma"/>
        </w:rPr>
        <w:t xml:space="preserve"> </w:t>
      </w:r>
      <w:r w:rsidRPr="00E1207B">
        <w:rPr>
          <w:rFonts w:ascii="Tahoma" w:hAnsi="Tahoma" w:cs="Tahoma"/>
        </w:rPr>
        <w:t>vulnerability to sexual and</w:t>
      </w:r>
      <w:r w:rsidR="00936DDE">
        <w:rPr>
          <w:rFonts w:ascii="Tahoma" w:hAnsi="Tahoma" w:cs="Tahoma"/>
        </w:rPr>
        <w:t xml:space="preserve"> </w:t>
      </w:r>
      <w:r w:rsidR="00BB6800">
        <w:rPr>
          <w:rFonts w:ascii="Tahoma" w:hAnsi="Tahoma" w:cs="Tahoma"/>
        </w:rPr>
        <w:t>reproductive health infect</w:t>
      </w:r>
      <w:r w:rsidRPr="00E1207B">
        <w:rPr>
          <w:rFonts w:ascii="Tahoma" w:hAnsi="Tahoma" w:cs="Tahoma"/>
        </w:rPr>
        <w:t xml:space="preserve">ions and adolescent pregnancies. </w:t>
      </w:r>
      <w:r w:rsidR="00BB6800">
        <w:rPr>
          <w:rFonts w:ascii="Tahoma" w:hAnsi="Tahoma" w:cs="Tahoma"/>
        </w:rPr>
        <w:t>Addressing b</w:t>
      </w:r>
      <w:r w:rsidRPr="00E1207B">
        <w:rPr>
          <w:rFonts w:ascii="Tahoma" w:hAnsi="Tahoma" w:cs="Tahoma"/>
        </w:rPr>
        <w:t>oth youth a</w:t>
      </w:r>
      <w:r w:rsidR="00BB6800">
        <w:rPr>
          <w:rFonts w:ascii="Tahoma" w:hAnsi="Tahoma" w:cs="Tahoma"/>
        </w:rPr>
        <w:t>nd f</w:t>
      </w:r>
      <w:r w:rsidRPr="00E1207B">
        <w:rPr>
          <w:rFonts w:ascii="Tahoma" w:hAnsi="Tahoma" w:cs="Tahoma"/>
        </w:rPr>
        <w:t>amily poverty will</w:t>
      </w:r>
      <w:r w:rsidR="00BB6800">
        <w:rPr>
          <w:rFonts w:ascii="Tahoma" w:hAnsi="Tahoma" w:cs="Tahoma"/>
        </w:rPr>
        <w:t xml:space="preserve"> </w:t>
      </w:r>
      <w:r w:rsidRPr="00E1207B">
        <w:rPr>
          <w:rFonts w:ascii="Tahoma" w:hAnsi="Tahoma" w:cs="Tahoma"/>
        </w:rPr>
        <w:t>contribute to keeping more adolescents in school and thus avoid risky behaviour such as drug and substance</w:t>
      </w:r>
      <w:r w:rsidR="00BB6800">
        <w:rPr>
          <w:rFonts w:ascii="Tahoma" w:hAnsi="Tahoma" w:cs="Tahoma"/>
        </w:rPr>
        <w:t xml:space="preserve"> </w:t>
      </w:r>
      <w:r w:rsidRPr="00E1207B">
        <w:rPr>
          <w:rFonts w:ascii="Tahoma" w:hAnsi="Tahoma" w:cs="Tahoma"/>
        </w:rPr>
        <w:t>abuse which increase vulnerability or adolescents and young people. Youth p</w:t>
      </w:r>
      <w:r w:rsidR="00BB6800">
        <w:rPr>
          <w:rFonts w:ascii="Tahoma" w:hAnsi="Tahoma" w:cs="Tahoma"/>
        </w:rPr>
        <w:t xml:space="preserve">overty also undermines access of </w:t>
      </w:r>
      <w:r w:rsidRPr="00E1207B">
        <w:rPr>
          <w:rFonts w:ascii="Tahoma" w:hAnsi="Tahoma" w:cs="Tahoma"/>
        </w:rPr>
        <w:t>adolescents and yo</w:t>
      </w:r>
      <w:r w:rsidR="00BB6800">
        <w:rPr>
          <w:rFonts w:ascii="Tahoma" w:hAnsi="Tahoma" w:cs="Tahoma"/>
        </w:rPr>
        <w:t xml:space="preserve">ung people to </w:t>
      </w:r>
      <w:r w:rsidRPr="00E1207B">
        <w:rPr>
          <w:rFonts w:ascii="Tahoma" w:hAnsi="Tahoma" w:cs="Tahoma"/>
        </w:rPr>
        <w:t>A</w:t>
      </w:r>
      <w:r w:rsidR="00BB6800">
        <w:rPr>
          <w:rFonts w:ascii="Tahoma" w:hAnsi="Tahoma" w:cs="Tahoma"/>
        </w:rPr>
        <w:t>SRH services such as treatment of</w:t>
      </w:r>
      <w:r w:rsidRPr="00E1207B">
        <w:rPr>
          <w:rFonts w:ascii="Tahoma" w:hAnsi="Tahoma" w:cs="Tahoma"/>
        </w:rPr>
        <w:t xml:space="preserve"> STDs, HIV testing, contraceptives and condoms</w:t>
      </w:r>
      <w:r w:rsidR="00BB6800">
        <w:rPr>
          <w:rFonts w:ascii="Tahoma" w:hAnsi="Tahoma" w:cs="Tahoma"/>
        </w:rPr>
        <w:t xml:space="preserve"> for </w:t>
      </w:r>
      <w:r w:rsidRPr="00E1207B">
        <w:rPr>
          <w:rFonts w:ascii="Tahoma" w:hAnsi="Tahoma" w:cs="Tahoma"/>
        </w:rPr>
        <w:t>STI prevention.</w:t>
      </w:r>
    </w:p>
    <w:p w14:paraId="621CFC88" w14:textId="77777777" w:rsidR="00424FC1" w:rsidRDefault="00424FC1" w:rsidP="003769D5">
      <w:pPr>
        <w:shd w:val="clear" w:color="auto" w:fill="F2F2F2" w:themeFill="background1" w:themeFillShade="F2"/>
        <w:jc w:val="both"/>
        <w:rPr>
          <w:rFonts w:ascii="Tahoma" w:hAnsi="Tahoma" w:cs="Tahoma"/>
          <w:sz w:val="20"/>
          <w:szCs w:val="20"/>
          <w:lang w:val="en-US"/>
        </w:rPr>
      </w:pPr>
      <w:r w:rsidRPr="0058023D">
        <w:rPr>
          <w:rFonts w:ascii="Tahoma" w:hAnsi="Tahoma" w:cs="Tahoma"/>
          <w:sz w:val="20"/>
          <w:szCs w:val="20"/>
          <w:lang w:val="en-US"/>
        </w:rPr>
        <w:t xml:space="preserve">Source: National Adolescent Sexual and Reproductive Health Strategy II, </w:t>
      </w:r>
      <w:r>
        <w:rPr>
          <w:rFonts w:ascii="Tahoma" w:hAnsi="Tahoma" w:cs="Tahoma"/>
          <w:sz w:val="20"/>
          <w:szCs w:val="20"/>
          <w:lang w:val="en-US"/>
        </w:rPr>
        <w:t xml:space="preserve">pg. xiv, </w:t>
      </w:r>
      <w:r w:rsidRPr="0058023D">
        <w:rPr>
          <w:rFonts w:ascii="Tahoma" w:hAnsi="Tahoma" w:cs="Tahoma"/>
          <w:sz w:val="20"/>
          <w:szCs w:val="20"/>
          <w:lang w:val="en-US"/>
        </w:rPr>
        <w:t>2016-2020.</w:t>
      </w:r>
    </w:p>
    <w:p w14:paraId="0D10EAD7" w14:textId="77777777" w:rsidR="00592198" w:rsidRDefault="00592198" w:rsidP="00592198">
      <w:pPr>
        <w:jc w:val="both"/>
        <w:rPr>
          <w:rFonts w:ascii="Tahoma" w:hAnsi="Tahoma" w:cs="Tahoma"/>
          <w:b/>
          <w:lang w:val="en-US"/>
        </w:rPr>
      </w:pPr>
    </w:p>
    <w:p w14:paraId="5D0DF021" w14:textId="77777777" w:rsidR="00424FC1" w:rsidRPr="002A1381" w:rsidRDefault="001768E4" w:rsidP="003769D5">
      <w:pPr>
        <w:shd w:val="clear" w:color="auto" w:fill="F2F2F2" w:themeFill="background1" w:themeFillShade="F2"/>
        <w:jc w:val="both"/>
        <w:rPr>
          <w:rFonts w:ascii="Tahoma" w:hAnsi="Tahoma" w:cs="Tahoma"/>
          <w:b/>
          <w:lang w:val="en-US"/>
        </w:rPr>
      </w:pPr>
      <w:r>
        <w:rPr>
          <w:rFonts w:ascii="Tahoma" w:hAnsi="Tahoma" w:cs="Tahoma"/>
          <w:b/>
          <w:lang w:val="en-US"/>
        </w:rPr>
        <w:t xml:space="preserve">Extract 6: </w:t>
      </w:r>
      <w:r w:rsidR="00424FC1" w:rsidRPr="002A1381">
        <w:rPr>
          <w:rFonts w:ascii="Tahoma" w:hAnsi="Tahoma" w:cs="Tahoma"/>
          <w:b/>
          <w:lang w:val="en-US"/>
        </w:rPr>
        <w:t>Retention of learners in schools</w:t>
      </w:r>
    </w:p>
    <w:p w14:paraId="7AC1FA67" w14:textId="77777777" w:rsidR="00424FC1" w:rsidRPr="003769D5" w:rsidRDefault="00424FC1" w:rsidP="003769D5">
      <w:pPr>
        <w:pStyle w:val="Default"/>
        <w:shd w:val="clear" w:color="auto" w:fill="F2F2F2" w:themeFill="background1" w:themeFillShade="F2"/>
        <w:jc w:val="both"/>
        <w:rPr>
          <w:rFonts w:ascii="Tahoma" w:hAnsi="Tahoma" w:cs="Tahoma"/>
          <w:sz w:val="22"/>
          <w:szCs w:val="22"/>
        </w:rPr>
      </w:pPr>
      <w:r w:rsidRPr="00763317">
        <w:rPr>
          <w:rFonts w:ascii="Tahoma" w:hAnsi="Tahoma" w:cs="Tahoma"/>
          <w:sz w:val="22"/>
          <w:szCs w:val="22"/>
        </w:rPr>
        <w:t xml:space="preserve">6.4.2 </w:t>
      </w:r>
      <w:r w:rsidRPr="003769D5">
        <w:rPr>
          <w:rFonts w:ascii="Tahoma" w:hAnsi="Tahoma" w:cs="Tahoma"/>
          <w:b/>
          <w:bCs/>
          <w:iCs/>
          <w:sz w:val="22"/>
          <w:szCs w:val="22"/>
        </w:rPr>
        <w:t>Retention in School</w:t>
      </w:r>
      <w:r w:rsidRPr="00763317">
        <w:rPr>
          <w:rFonts w:ascii="Tahoma" w:hAnsi="Tahoma" w:cs="Tahoma"/>
          <w:b/>
          <w:bCs/>
          <w:i/>
          <w:iCs/>
          <w:sz w:val="22"/>
          <w:szCs w:val="22"/>
        </w:rPr>
        <w:t xml:space="preserve"> </w:t>
      </w:r>
    </w:p>
    <w:p w14:paraId="7EB02824" w14:textId="77777777" w:rsidR="00424FC1" w:rsidRPr="00763317" w:rsidRDefault="00424FC1" w:rsidP="003769D5">
      <w:pPr>
        <w:pStyle w:val="Default"/>
        <w:shd w:val="clear" w:color="auto" w:fill="F2F2F2" w:themeFill="background1" w:themeFillShade="F2"/>
        <w:jc w:val="both"/>
        <w:rPr>
          <w:rFonts w:ascii="Tahoma" w:hAnsi="Tahoma" w:cs="Tahoma"/>
          <w:sz w:val="22"/>
          <w:szCs w:val="22"/>
        </w:rPr>
      </w:pPr>
      <w:r w:rsidRPr="00763317">
        <w:rPr>
          <w:rFonts w:ascii="Tahoma" w:hAnsi="Tahoma" w:cs="Tahoma"/>
          <w:sz w:val="22"/>
          <w:szCs w:val="22"/>
        </w:rPr>
        <w:t>The learners’ right to education during and after their pregnancy is guaranteed by the South African Constitution and guided by the African Charter on the Rights of the Child, which states in article 11(6) that ‘</w:t>
      </w:r>
      <w:r w:rsidRPr="00763317">
        <w:rPr>
          <w:rFonts w:ascii="Tahoma" w:hAnsi="Tahoma" w:cs="Tahoma"/>
          <w:i/>
          <w:iCs/>
          <w:sz w:val="22"/>
          <w:szCs w:val="22"/>
        </w:rPr>
        <w:t>State Parties to the Charter shall take all appropriate measures to ensure that children who become pregnant before completing their education shall have an opportunity to continue with their education on the basis of their individual ability</w:t>
      </w:r>
      <w:r w:rsidRPr="00763317">
        <w:rPr>
          <w:rFonts w:ascii="Tahoma" w:hAnsi="Tahoma" w:cs="Tahoma"/>
          <w:sz w:val="22"/>
          <w:szCs w:val="22"/>
        </w:rPr>
        <w:t xml:space="preserve">’. The basis on which the pregnant learner may be reintegrated into the basic education system after delivery will depend on medical advice and the point in the calendar year when she left the school for delivery. This reintegration process and its timing is detailed in the Policy Implementation Plan and guided by other relevant DBE policies and protocols. The retention or promotion of the learner, during and after pregnancy, will be guided by the National Policy on the Programme and Promotion requirements of the NCS Grade R-12 and Circular E22 of 2016 on progression in Grades 10-12. </w:t>
      </w:r>
    </w:p>
    <w:p w14:paraId="4700EE7B" w14:textId="77777777" w:rsidR="00424FC1" w:rsidRPr="00763317" w:rsidRDefault="00424FC1" w:rsidP="003769D5">
      <w:pPr>
        <w:pStyle w:val="Default"/>
        <w:shd w:val="clear" w:color="auto" w:fill="F2F2F2" w:themeFill="background1" w:themeFillShade="F2"/>
        <w:jc w:val="both"/>
        <w:rPr>
          <w:rFonts w:ascii="Tahoma" w:hAnsi="Tahoma" w:cs="Tahoma"/>
          <w:sz w:val="22"/>
          <w:szCs w:val="22"/>
        </w:rPr>
      </w:pPr>
    </w:p>
    <w:p w14:paraId="09C9B2D6" w14:textId="77777777" w:rsidR="00424FC1" w:rsidRDefault="00424FC1" w:rsidP="003769D5">
      <w:pPr>
        <w:shd w:val="clear" w:color="auto" w:fill="F2F2F2" w:themeFill="background1" w:themeFillShade="F2"/>
        <w:jc w:val="both"/>
        <w:rPr>
          <w:rFonts w:ascii="Tahoma" w:hAnsi="Tahoma" w:cs="Tahoma"/>
        </w:rPr>
      </w:pPr>
      <w:r w:rsidRPr="00763317">
        <w:rPr>
          <w:rFonts w:ascii="Tahoma" w:hAnsi="Tahoma" w:cs="Tahoma"/>
        </w:rPr>
        <w:t>In this context however the Policy on the Prevention and Management of Learner Pregnancy is clear that schools will allow the pregnant learner to remain in school during and after pregnancy. To facilitate the application of these rights, learners who are over six months pregnant will be required to submit a medical certificate indicating the status of their pregnancy and estimated delivery date. In addition, the pregnant learner will be asked to provide medical reports to her appointed teacher or school principal certifying that it is safe for her to continue with her schooling if she wishes to stay in school beyond 30 weeks (8 months) of pregnancy. If the learner does not provide this information and fails to provide an explanation, she may be asked to take a leave of absence until medical proof is provided. Medical information provided by the learner to the principal shall be strictly confidential to protect the learner’s right to privacy.</w:t>
      </w:r>
    </w:p>
    <w:p w14:paraId="19DE8087" w14:textId="77777777" w:rsidR="00424FC1" w:rsidRDefault="00424FC1" w:rsidP="003769D5">
      <w:pPr>
        <w:shd w:val="clear" w:color="auto" w:fill="F2F2F2" w:themeFill="background1" w:themeFillShade="F2"/>
        <w:jc w:val="both"/>
        <w:rPr>
          <w:rFonts w:ascii="Tahoma" w:hAnsi="Tahoma" w:cs="Tahoma"/>
          <w:sz w:val="20"/>
          <w:szCs w:val="20"/>
          <w:lang w:val="en-US"/>
        </w:rPr>
      </w:pPr>
      <w:r w:rsidRPr="0058023D">
        <w:rPr>
          <w:rFonts w:ascii="Tahoma" w:hAnsi="Tahoma" w:cs="Tahoma"/>
          <w:sz w:val="20"/>
          <w:szCs w:val="20"/>
          <w:lang w:val="en-US"/>
        </w:rPr>
        <w:t xml:space="preserve">Source: </w:t>
      </w:r>
      <w:r>
        <w:rPr>
          <w:rFonts w:ascii="Tahoma" w:hAnsi="Tahoma" w:cs="Tahoma"/>
          <w:sz w:val="20"/>
          <w:szCs w:val="20"/>
          <w:lang w:val="en-US"/>
        </w:rPr>
        <w:t xml:space="preserve">South Africa Draft Pregnancy Policy </w:t>
      </w:r>
      <w:r w:rsidR="003769D5">
        <w:rPr>
          <w:rFonts w:ascii="Tahoma" w:hAnsi="Tahoma" w:cs="Tahoma"/>
          <w:sz w:val="20"/>
          <w:szCs w:val="20"/>
          <w:lang w:val="en-US"/>
        </w:rPr>
        <w:t>2017</w:t>
      </w:r>
    </w:p>
    <w:p w14:paraId="07F58B25" w14:textId="77777777" w:rsidR="00424FC1" w:rsidRPr="00763317" w:rsidRDefault="00424FC1" w:rsidP="00424FC1">
      <w:pPr>
        <w:jc w:val="both"/>
        <w:rPr>
          <w:rFonts w:ascii="Tahoma" w:hAnsi="Tahoma" w:cs="Tahoma"/>
          <w:lang w:val="en-US"/>
        </w:rPr>
      </w:pPr>
    </w:p>
    <w:p w14:paraId="71E7C495" w14:textId="77777777" w:rsidR="000C393D" w:rsidRPr="006C70A7" w:rsidRDefault="00592198" w:rsidP="000C393D">
      <w:pPr>
        <w:shd w:val="clear" w:color="auto" w:fill="F2F2F2" w:themeFill="background1" w:themeFillShade="F2"/>
        <w:jc w:val="both"/>
        <w:rPr>
          <w:rFonts w:ascii="Tahoma" w:hAnsi="Tahoma" w:cs="Tahoma"/>
          <w:b/>
        </w:rPr>
      </w:pPr>
      <w:r>
        <w:rPr>
          <w:rFonts w:ascii="Tahoma" w:hAnsi="Tahoma" w:cs="Tahoma"/>
          <w:b/>
        </w:rPr>
        <w:t xml:space="preserve">Extract 6: </w:t>
      </w:r>
      <w:r w:rsidR="000C393D" w:rsidRPr="006C70A7">
        <w:rPr>
          <w:rFonts w:ascii="Tahoma" w:hAnsi="Tahoma" w:cs="Tahoma"/>
          <w:b/>
        </w:rPr>
        <w:t>Ensure access to disability inclusive services</w:t>
      </w:r>
    </w:p>
    <w:p w14:paraId="636D8688" w14:textId="77777777" w:rsidR="000C393D" w:rsidRPr="006C70A7" w:rsidRDefault="000C393D" w:rsidP="00592198">
      <w:pPr>
        <w:shd w:val="clear" w:color="auto" w:fill="F2F2F2" w:themeFill="background1" w:themeFillShade="F2"/>
        <w:spacing w:after="0"/>
        <w:jc w:val="both"/>
        <w:rPr>
          <w:rFonts w:ascii="Tahoma" w:hAnsi="Tahoma" w:cs="Tahoma"/>
        </w:rPr>
      </w:pPr>
      <w:r w:rsidRPr="006C70A7">
        <w:rPr>
          <w:rFonts w:ascii="Tahoma" w:hAnsi="Tahoma" w:cs="Tahoma"/>
        </w:rPr>
        <w:t>Barriers that women, girls, and gender non-conforming persons with disabilities face to available, accessible, acceptable, and quality SRH information, goods, and services have been identified and addressed</w:t>
      </w:r>
    </w:p>
    <w:p w14:paraId="7BCEF9BA" w14:textId="77777777" w:rsidR="000C393D" w:rsidRPr="00E117FA" w:rsidRDefault="000C393D" w:rsidP="000C393D">
      <w:pPr>
        <w:pStyle w:val="ListParagraph"/>
        <w:numPr>
          <w:ilvl w:val="0"/>
          <w:numId w:val="26"/>
        </w:numPr>
        <w:shd w:val="clear" w:color="auto" w:fill="F2F2F2" w:themeFill="background1" w:themeFillShade="F2"/>
        <w:jc w:val="both"/>
        <w:rPr>
          <w:rFonts w:ascii="Tahoma" w:hAnsi="Tahoma" w:cs="Tahoma"/>
        </w:rPr>
      </w:pPr>
      <w:r w:rsidRPr="00E117FA">
        <w:rPr>
          <w:rFonts w:ascii="Tahoma" w:hAnsi="Tahoma" w:cs="Tahoma"/>
        </w:rPr>
        <w:t xml:space="preserve">Guidance has been provided to SRH facilities on how to ensure that SRH facilities and equipment are physically accessible, services and goods are economically accessible, patients are provided with information in accessible formats, and sign language interpreters or other trained support people are provided. </w:t>
      </w:r>
    </w:p>
    <w:p w14:paraId="4E4F4B1B" w14:textId="77777777" w:rsidR="000C393D" w:rsidRPr="00E117FA" w:rsidRDefault="000C393D" w:rsidP="000C393D">
      <w:pPr>
        <w:pStyle w:val="ListParagraph"/>
        <w:numPr>
          <w:ilvl w:val="0"/>
          <w:numId w:val="26"/>
        </w:numPr>
        <w:shd w:val="clear" w:color="auto" w:fill="F2F2F2" w:themeFill="background1" w:themeFillShade="F2"/>
        <w:jc w:val="both"/>
        <w:rPr>
          <w:rFonts w:ascii="Tahoma" w:hAnsi="Tahoma" w:cs="Tahoma"/>
        </w:rPr>
      </w:pPr>
      <w:r w:rsidRPr="00E117FA">
        <w:rPr>
          <w:rFonts w:ascii="Tahoma" w:hAnsi="Tahoma" w:cs="Tahoma"/>
        </w:rPr>
        <w:t xml:space="preserve">A nationwide accessibility audit has been conducted to assess the full range of accessibility measures in SRH facilities. </w:t>
      </w:r>
    </w:p>
    <w:p w14:paraId="5301326F" w14:textId="77777777" w:rsidR="000C393D" w:rsidRPr="00E117FA" w:rsidRDefault="000C393D" w:rsidP="000C393D">
      <w:pPr>
        <w:pStyle w:val="ListParagraph"/>
        <w:numPr>
          <w:ilvl w:val="1"/>
          <w:numId w:val="26"/>
        </w:numPr>
        <w:shd w:val="clear" w:color="auto" w:fill="F2F2F2" w:themeFill="background1" w:themeFillShade="F2"/>
        <w:jc w:val="both"/>
        <w:rPr>
          <w:rFonts w:ascii="Tahoma" w:hAnsi="Tahoma" w:cs="Tahoma"/>
        </w:rPr>
      </w:pPr>
      <w:r w:rsidRPr="00E117FA">
        <w:rPr>
          <w:rFonts w:ascii="Tahoma" w:hAnsi="Tahoma" w:cs="Tahoma"/>
        </w:rPr>
        <w:t xml:space="preserve">An action plan has been put in place to address gaps in accessibility. </w:t>
      </w:r>
    </w:p>
    <w:p w14:paraId="6FF8AE2E" w14:textId="77777777" w:rsidR="000C393D" w:rsidRPr="00E117FA" w:rsidRDefault="000C393D" w:rsidP="000C393D">
      <w:pPr>
        <w:pStyle w:val="ListParagraph"/>
        <w:numPr>
          <w:ilvl w:val="0"/>
          <w:numId w:val="26"/>
        </w:numPr>
        <w:shd w:val="clear" w:color="auto" w:fill="F2F2F2" w:themeFill="background1" w:themeFillShade="F2"/>
        <w:jc w:val="both"/>
        <w:rPr>
          <w:rFonts w:ascii="Tahoma" w:hAnsi="Tahoma" w:cs="Tahoma"/>
        </w:rPr>
      </w:pPr>
      <w:r w:rsidRPr="00E117FA">
        <w:rPr>
          <w:rFonts w:ascii="Tahoma" w:hAnsi="Tahoma" w:cs="Tahoma"/>
        </w:rPr>
        <w:t xml:space="preserve">SRH providers and staff are required to undergo training on human rights, particularly gender and disability rights, including as part of medical education. This training includes: </w:t>
      </w:r>
    </w:p>
    <w:p w14:paraId="323EFD18" w14:textId="77777777" w:rsidR="000C393D" w:rsidRPr="00E117FA" w:rsidRDefault="000C393D" w:rsidP="000C393D">
      <w:pPr>
        <w:pStyle w:val="ListParagraph"/>
        <w:numPr>
          <w:ilvl w:val="1"/>
          <w:numId w:val="26"/>
        </w:numPr>
        <w:shd w:val="clear" w:color="auto" w:fill="F2F2F2" w:themeFill="background1" w:themeFillShade="F2"/>
        <w:jc w:val="both"/>
        <w:rPr>
          <w:rFonts w:ascii="Tahoma" w:hAnsi="Tahoma" w:cs="Tahoma"/>
        </w:rPr>
      </w:pPr>
      <w:r w:rsidRPr="00E117FA">
        <w:rPr>
          <w:rFonts w:ascii="Tahoma" w:hAnsi="Tahoma" w:cs="Tahoma"/>
        </w:rPr>
        <w:t xml:space="preserve">Information to counter the incorrect assumption that persons with disabilities are asexual or incapable of making healthcare decisions. </w:t>
      </w:r>
    </w:p>
    <w:p w14:paraId="3580483A" w14:textId="77777777" w:rsidR="000C393D" w:rsidRDefault="000C393D" w:rsidP="00592198">
      <w:pPr>
        <w:pStyle w:val="ListParagraph"/>
        <w:numPr>
          <w:ilvl w:val="1"/>
          <w:numId w:val="26"/>
        </w:numPr>
        <w:shd w:val="clear" w:color="auto" w:fill="F2F2F2" w:themeFill="background1" w:themeFillShade="F2"/>
        <w:spacing w:after="0"/>
        <w:jc w:val="both"/>
        <w:rPr>
          <w:rFonts w:ascii="Tahoma" w:hAnsi="Tahoma" w:cs="Tahoma"/>
        </w:rPr>
      </w:pPr>
      <w:r w:rsidRPr="00E117FA">
        <w:rPr>
          <w:rFonts w:ascii="Tahoma" w:hAnsi="Tahoma" w:cs="Tahoma"/>
        </w:rPr>
        <w:t>Information on the diversity of disability and on providing respectful care to persons with disabilities.</w:t>
      </w:r>
    </w:p>
    <w:p w14:paraId="155FAFFD" w14:textId="77777777" w:rsidR="000C393D" w:rsidRPr="000C393D" w:rsidRDefault="000C393D" w:rsidP="000C393D">
      <w:pPr>
        <w:shd w:val="clear" w:color="auto" w:fill="F2F2F2" w:themeFill="background1" w:themeFillShade="F2"/>
        <w:jc w:val="both"/>
        <w:rPr>
          <w:rFonts w:ascii="Tahoma" w:hAnsi="Tahoma" w:cs="Tahoma"/>
        </w:rPr>
      </w:pPr>
      <w:r>
        <w:rPr>
          <w:rFonts w:ascii="Tahoma" w:hAnsi="Tahoma" w:cs="Tahoma"/>
        </w:rPr>
        <w:t xml:space="preserve">Source: </w:t>
      </w:r>
      <w:r w:rsidR="00592198" w:rsidRPr="008073DA">
        <w:rPr>
          <w:rFonts w:ascii="Tahoma" w:hAnsi="Tahoma" w:cs="Tahoma"/>
          <w:sz w:val="20"/>
          <w:szCs w:val="20"/>
          <w:lang w:eastAsia="en-ZW"/>
        </w:rPr>
        <w:t xml:space="preserve">UNFPA (2021) </w:t>
      </w:r>
      <w:r w:rsidR="00592198" w:rsidRPr="008073DA">
        <w:rPr>
          <w:rFonts w:ascii="Tahoma" w:hAnsi="Tahoma" w:cs="Tahoma"/>
          <w:iCs/>
          <w:sz w:val="20"/>
          <w:szCs w:val="20"/>
          <w:lang w:eastAsia="en-ZW"/>
        </w:rPr>
        <w:t>COVID-19, Gender, and Disability Checklist: Preventing and Addressing Gender-Based Violence against Women, Girls, and Gender Non-Conforming Persons with Disabilities during the COVID-19 Pandemic</w:t>
      </w:r>
      <w:r w:rsidR="00592198" w:rsidRPr="008073DA">
        <w:rPr>
          <w:rFonts w:ascii="Tahoma" w:hAnsi="Tahoma" w:cs="Tahoma"/>
          <w:sz w:val="20"/>
          <w:szCs w:val="20"/>
          <w:lang w:eastAsia="en-ZW"/>
        </w:rPr>
        <w:t xml:space="preserve">, </w:t>
      </w:r>
      <w:hyperlink r:id="rId17" w:history="1">
        <w:r w:rsidR="00592198" w:rsidRPr="008073DA">
          <w:rPr>
            <w:rFonts w:ascii="Tahoma" w:hAnsi="Tahoma" w:cs="Tahoma"/>
            <w:color w:val="0000FF"/>
            <w:sz w:val="20"/>
            <w:szCs w:val="20"/>
            <w:u w:val="single"/>
            <w:lang w:eastAsia="en-ZW"/>
          </w:rPr>
          <w:t>https://www.unfpa.org/resources/covid-19-gender-and-disability-checklist-preventing-and-addressing-gender-based-violence</w:t>
        </w:r>
      </w:hyperlink>
      <w:r w:rsidR="00592198" w:rsidRPr="008073DA">
        <w:rPr>
          <w:rFonts w:ascii="Tahoma" w:hAnsi="Tahoma" w:cs="Tahoma"/>
          <w:sz w:val="20"/>
          <w:szCs w:val="20"/>
          <w:lang w:eastAsia="en-ZW"/>
        </w:rPr>
        <w:t>, accessed 11 July 2021.</w:t>
      </w:r>
    </w:p>
    <w:p w14:paraId="12EF4B5D" w14:textId="77777777" w:rsidR="0070718C" w:rsidRPr="0070718C" w:rsidRDefault="0070718C" w:rsidP="0070718C">
      <w:pPr>
        <w:autoSpaceDE w:val="0"/>
        <w:autoSpaceDN w:val="0"/>
        <w:adjustRightInd w:val="0"/>
        <w:spacing w:after="0" w:line="240" w:lineRule="auto"/>
        <w:jc w:val="both"/>
        <w:rPr>
          <w:rFonts w:ascii="Tahoma" w:hAnsi="Tahoma" w:cs="Tahoma"/>
          <w:lang w:val="en-US"/>
        </w:rPr>
      </w:pPr>
    </w:p>
    <w:sectPr w:rsidR="0070718C" w:rsidRPr="0070718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AA40A" w14:textId="77777777" w:rsidR="008A7C80" w:rsidRDefault="008A7C80" w:rsidP="006C385F">
      <w:pPr>
        <w:spacing w:after="0" w:line="240" w:lineRule="auto"/>
      </w:pPr>
      <w:r>
        <w:separator/>
      </w:r>
    </w:p>
  </w:endnote>
  <w:endnote w:type="continuationSeparator" w:id="0">
    <w:p w14:paraId="1E111C26" w14:textId="77777777" w:rsidR="008A7C80" w:rsidRDefault="008A7C80" w:rsidP="006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948720"/>
      <w:docPartObj>
        <w:docPartGallery w:val="Page Numbers (Bottom of Page)"/>
        <w:docPartUnique/>
      </w:docPartObj>
    </w:sdtPr>
    <w:sdtEndPr>
      <w:rPr>
        <w:noProof/>
      </w:rPr>
    </w:sdtEndPr>
    <w:sdtContent>
      <w:p w14:paraId="51ECCEA1" w14:textId="77777777" w:rsidR="002F0CA5" w:rsidRDefault="002F0CA5">
        <w:pPr>
          <w:pStyle w:val="Footer"/>
          <w:jc w:val="right"/>
        </w:pPr>
        <w:r>
          <w:fldChar w:fldCharType="begin"/>
        </w:r>
        <w:r>
          <w:instrText xml:space="preserve"> PAGE   \* MERGEFORMAT </w:instrText>
        </w:r>
        <w:r>
          <w:fldChar w:fldCharType="separate"/>
        </w:r>
        <w:r w:rsidR="00EA46EE">
          <w:rPr>
            <w:noProof/>
          </w:rPr>
          <w:t>13</w:t>
        </w:r>
        <w:r>
          <w:rPr>
            <w:noProof/>
          </w:rPr>
          <w:fldChar w:fldCharType="end"/>
        </w:r>
      </w:p>
    </w:sdtContent>
  </w:sdt>
  <w:p w14:paraId="04BFE935" w14:textId="77777777" w:rsidR="0023518B" w:rsidRDefault="00235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0D9DF" w14:textId="77777777" w:rsidR="008A7C80" w:rsidRDefault="008A7C80" w:rsidP="006C385F">
      <w:pPr>
        <w:spacing w:after="0" w:line="240" w:lineRule="auto"/>
      </w:pPr>
      <w:r>
        <w:separator/>
      </w:r>
    </w:p>
  </w:footnote>
  <w:footnote w:type="continuationSeparator" w:id="0">
    <w:p w14:paraId="4B3C0204" w14:textId="77777777" w:rsidR="008A7C80" w:rsidRDefault="008A7C80" w:rsidP="006C385F">
      <w:pPr>
        <w:spacing w:after="0" w:line="240" w:lineRule="auto"/>
      </w:pPr>
      <w:r>
        <w:continuationSeparator/>
      </w:r>
    </w:p>
  </w:footnote>
  <w:footnote w:id="1">
    <w:p w14:paraId="34E1F08F" w14:textId="77777777" w:rsidR="00E45EC4" w:rsidRPr="006C43C0" w:rsidRDefault="00E45EC4">
      <w:pPr>
        <w:pStyle w:val="FootnoteText"/>
        <w:rPr>
          <w:lang w:val="en-US"/>
        </w:rPr>
      </w:pPr>
      <w:r>
        <w:rPr>
          <w:rStyle w:val="FootnoteReference"/>
        </w:rPr>
        <w:footnoteRef/>
      </w:r>
      <w:r>
        <w:t xml:space="preserve"> </w:t>
      </w:r>
      <w:r w:rsidRPr="00EC0762">
        <w:rPr>
          <w:rFonts w:ascii="Tahoma" w:hAnsi="Tahoma" w:cs="Tahoma"/>
        </w:rPr>
        <w:t>Adapted from r</w:t>
      </w:r>
      <w:r w:rsidRPr="00EC0762">
        <w:rPr>
          <w:rFonts w:ascii="Tahoma" w:hAnsi="Tahoma" w:cs="Tahoma"/>
          <w:lang w:val="en-US"/>
        </w:rPr>
        <w:t>recommendations in the ASRHR Regional Rapid assessment report</w:t>
      </w:r>
      <w:r>
        <w:rPr>
          <w:lang w:val="en-US"/>
        </w:rPr>
        <w:t xml:space="preserve"> </w:t>
      </w:r>
    </w:p>
  </w:footnote>
  <w:footnote w:id="2">
    <w:p w14:paraId="5AD67DC8" w14:textId="77777777" w:rsidR="00E45EC4" w:rsidRPr="00EC0762" w:rsidRDefault="00E45EC4">
      <w:pPr>
        <w:pStyle w:val="FootnoteText"/>
        <w:rPr>
          <w:rFonts w:ascii="Tahoma" w:hAnsi="Tahoma" w:cs="Tahoma"/>
          <w:lang w:val="en-US"/>
        </w:rPr>
      </w:pPr>
      <w:r>
        <w:rPr>
          <w:rStyle w:val="FootnoteReference"/>
        </w:rPr>
        <w:footnoteRef/>
      </w:r>
      <w:r>
        <w:t xml:space="preserve"> </w:t>
      </w:r>
      <w:r w:rsidRPr="00EC0762">
        <w:rPr>
          <w:rFonts w:ascii="Tahoma" w:hAnsi="Tahoma" w:cs="Tahoma"/>
        </w:rPr>
        <w:t xml:space="preserve">Adapted from WHO </w:t>
      </w:r>
      <w:r>
        <w:rPr>
          <w:rFonts w:ascii="Tahoma" w:hAnsi="Tahoma" w:cs="Tahoma"/>
        </w:rPr>
        <w:t xml:space="preserve">Recommendations </w:t>
      </w:r>
      <w:r w:rsidRPr="00EC0762">
        <w:rPr>
          <w:rFonts w:ascii="Tahoma" w:hAnsi="Tahoma" w:cs="Tahoma"/>
        </w:rPr>
        <w:t>for Adolescent Sexual and Reproductive Health and Rights (2018)</w:t>
      </w:r>
      <w:r w:rsidRPr="002F0CA5">
        <w:t xml:space="preserve"> </w:t>
      </w:r>
      <w:hyperlink r:id="rId1" w:history="1">
        <w:r w:rsidRPr="00085B22">
          <w:rPr>
            <w:rStyle w:val="Hyperlink"/>
            <w:rFonts w:ascii="Tahoma" w:hAnsi="Tahoma" w:cs="Tahoma"/>
          </w:rPr>
          <w:t>https://www.who.int/reproductivehealth/publications/adolescent-srhr-who-recommendations/en/</w:t>
        </w:r>
      </w:hyperlink>
      <w:r>
        <w:rPr>
          <w:rFonts w:ascii="Tahoma" w:hAnsi="Tahoma" w:cs="Tahoma"/>
        </w:rPr>
        <w:t xml:space="preserve"> accessed 12 September, 2021. </w:t>
      </w:r>
    </w:p>
  </w:footnote>
  <w:footnote w:id="3">
    <w:p w14:paraId="71A447B5" w14:textId="77777777" w:rsidR="005D3DDE" w:rsidRPr="00373B5D" w:rsidRDefault="005D3DDE" w:rsidP="005356E2">
      <w:pPr>
        <w:pStyle w:val="FootnoteText"/>
        <w:rPr>
          <w:lang w:val="en-US"/>
        </w:rPr>
      </w:pPr>
      <w:r>
        <w:rPr>
          <w:rStyle w:val="FootnoteReference"/>
        </w:rPr>
        <w:footnoteRef/>
      </w:r>
      <w:r>
        <w:t xml:space="preserve"> </w:t>
      </w:r>
      <w:r>
        <w:rPr>
          <w:lang w:val="en-US"/>
        </w:rPr>
        <w:t>Ibid</w:t>
      </w:r>
    </w:p>
  </w:footnote>
  <w:footnote w:id="4">
    <w:p w14:paraId="465FD3BA" w14:textId="77777777" w:rsidR="00E45EC4" w:rsidRPr="00373B5D" w:rsidRDefault="00E45EC4" w:rsidP="005356E2">
      <w:pPr>
        <w:pStyle w:val="FootnoteText"/>
        <w:rPr>
          <w:lang w:val="en-US"/>
        </w:rPr>
      </w:pPr>
      <w:r>
        <w:rPr>
          <w:rStyle w:val="FootnoteReference"/>
        </w:rPr>
        <w:footnoteRef/>
      </w:r>
      <w:r>
        <w:t xml:space="preserve"> </w:t>
      </w:r>
      <w:r>
        <w:rPr>
          <w:rFonts w:ascii="Tahoma" w:hAnsi="Tahoma" w:cs="Tahoma"/>
        </w:rPr>
        <w:t xml:space="preserve">Adapted from </w:t>
      </w:r>
      <w:r w:rsidRPr="00EC0762">
        <w:rPr>
          <w:rFonts w:ascii="Tahoma" w:hAnsi="Tahoma" w:cs="Tahoma"/>
          <w:lang w:val="en-US"/>
        </w:rPr>
        <w:t>recommendations in the ASRHR Regional Rapid assessment report</w:t>
      </w:r>
      <w:r>
        <w:rPr>
          <w:lang w:val="en-US"/>
        </w:rPr>
        <w:t xml:space="preserve"> </w:t>
      </w:r>
    </w:p>
  </w:footnote>
  <w:footnote w:id="5">
    <w:p w14:paraId="654A72D7" w14:textId="77777777" w:rsidR="00E45EC4" w:rsidRPr="00A67741" w:rsidRDefault="00E45EC4" w:rsidP="005356E2">
      <w:pPr>
        <w:pStyle w:val="FootnoteText"/>
        <w:rPr>
          <w:lang w:val="en-US"/>
        </w:rPr>
      </w:pPr>
      <w:r>
        <w:rPr>
          <w:rStyle w:val="FootnoteReference"/>
        </w:rPr>
        <w:footnoteRef/>
      </w:r>
      <w:r>
        <w:t xml:space="preserve"> </w:t>
      </w:r>
      <w:r>
        <w:rPr>
          <w:rFonts w:ascii="Tahoma" w:hAnsi="Tahoma" w:cs="Tahoma"/>
        </w:rPr>
        <w:t xml:space="preserve">Adapted from </w:t>
      </w:r>
      <w:r>
        <w:rPr>
          <w:rFonts w:ascii="Tahoma" w:hAnsi="Tahoma" w:cs="Tahoma"/>
          <w:lang w:val="en-US"/>
        </w:rPr>
        <w:t>indicators</w:t>
      </w:r>
      <w:r w:rsidRPr="00EC0762">
        <w:rPr>
          <w:rFonts w:ascii="Tahoma" w:hAnsi="Tahoma" w:cs="Tahoma"/>
          <w:lang w:val="en-US"/>
        </w:rPr>
        <w:t xml:space="preserve"> in the ASRHR </w:t>
      </w:r>
      <w:r>
        <w:rPr>
          <w:rFonts w:ascii="Tahoma" w:hAnsi="Tahoma" w:cs="Tahoma"/>
          <w:lang w:val="en-US"/>
        </w:rPr>
        <w:t>Regional Rapid assessment tool</w:t>
      </w:r>
    </w:p>
  </w:footnote>
  <w:footnote w:id="6">
    <w:p w14:paraId="74248E00" w14:textId="77777777" w:rsidR="00E45EC4" w:rsidRPr="00477435" w:rsidRDefault="00E45EC4" w:rsidP="005356E2">
      <w:pPr>
        <w:pStyle w:val="FootnoteText"/>
        <w:rPr>
          <w:lang w:val="en-US"/>
        </w:rPr>
      </w:pPr>
      <w:r>
        <w:rPr>
          <w:rStyle w:val="FootnoteReference"/>
        </w:rPr>
        <w:footnoteRef/>
      </w:r>
      <w:r>
        <w:t xml:space="preserve"> </w:t>
      </w:r>
      <w:r>
        <w:rPr>
          <w:lang w:val="en-US"/>
        </w:rPr>
        <w:t>ibid</w:t>
      </w:r>
    </w:p>
  </w:footnote>
  <w:footnote w:id="7">
    <w:p w14:paraId="3968856B" w14:textId="77777777" w:rsidR="00E45EC4" w:rsidRPr="007B2902" w:rsidRDefault="00E45EC4" w:rsidP="005356E2">
      <w:pPr>
        <w:pStyle w:val="FootnoteText"/>
        <w:rPr>
          <w:lang w:val="en-US"/>
        </w:rPr>
      </w:pPr>
      <w:r>
        <w:rPr>
          <w:rStyle w:val="FootnoteReference"/>
        </w:rPr>
        <w:footnoteRef/>
      </w:r>
      <w:r>
        <w:t xml:space="preserve"> </w:t>
      </w:r>
      <w:r>
        <w:rPr>
          <w:lang w:val="en-US"/>
        </w:rPr>
        <w:t>ibid</w:t>
      </w:r>
    </w:p>
  </w:footnote>
  <w:footnote w:id="8">
    <w:p w14:paraId="79D3379A" w14:textId="77777777" w:rsidR="00E45EC4" w:rsidRPr="007B2902" w:rsidRDefault="00E45EC4" w:rsidP="005356E2">
      <w:pPr>
        <w:pStyle w:val="FootnoteText"/>
        <w:rPr>
          <w:lang w:val="en-US"/>
        </w:rPr>
      </w:pPr>
      <w:r>
        <w:rPr>
          <w:rStyle w:val="FootnoteReference"/>
        </w:rPr>
        <w:footnoteRef/>
      </w:r>
      <w:r>
        <w:t xml:space="preserve"> </w:t>
      </w:r>
      <w:r>
        <w:rPr>
          <w:lang w:val="en-US"/>
        </w:rPr>
        <w:t>ibid</w:t>
      </w:r>
    </w:p>
  </w:footnote>
  <w:footnote w:id="9">
    <w:p w14:paraId="37091811" w14:textId="77777777" w:rsidR="00E45EC4" w:rsidRPr="007B2902" w:rsidRDefault="00E45EC4" w:rsidP="005356E2">
      <w:pPr>
        <w:pStyle w:val="FootnoteText"/>
        <w:rPr>
          <w:lang w:val="en-US"/>
        </w:rPr>
      </w:pPr>
      <w:r>
        <w:rPr>
          <w:rStyle w:val="FootnoteReference"/>
        </w:rPr>
        <w:footnoteRef/>
      </w:r>
      <w:r>
        <w:t xml:space="preserve"> </w:t>
      </w:r>
      <w:r>
        <w:rPr>
          <w:lang w:val="en-US"/>
        </w:rPr>
        <w:t>ibid</w:t>
      </w:r>
    </w:p>
  </w:footnote>
  <w:footnote w:id="10">
    <w:p w14:paraId="72ED073C" w14:textId="77777777" w:rsidR="00E45EC4" w:rsidRPr="00E04412" w:rsidRDefault="00E45EC4">
      <w:pPr>
        <w:pStyle w:val="FootnoteText"/>
        <w:rPr>
          <w:lang w:val="en-US"/>
        </w:rPr>
      </w:pPr>
      <w:r>
        <w:rPr>
          <w:rStyle w:val="FootnoteReference"/>
        </w:rPr>
        <w:footnoteRef/>
      </w:r>
      <w:r>
        <w:t xml:space="preserve"> </w:t>
      </w:r>
      <w:r>
        <w:rPr>
          <w:rFonts w:ascii="Tahoma" w:hAnsi="Tahoma" w:cs="Tahoma"/>
        </w:rPr>
        <w:t xml:space="preserve">Adapted from </w:t>
      </w:r>
      <w:r>
        <w:rPr>
          <w:rFonts w:ascii="Tahoma" w:hAnsi="Tahoma" w:cs="Tahoma"/>
          <w:lang w:val="en-US"/>
        </w:rPr>
        <w:t>indicators</w:t>
      </w:r>
      <w:r w:rsidRPr="00EC0762">
        <w:rPr>
          <w:rFonts w:ascii="Tahoma" w:hAnsi="Tahoma" w:cs="Tahoma"/>
          <w:lang w:val="en-US"/>
        </w:rPr>
        <w:t xml:space="preserve"> in the ASRHR </w:t>
      </w:r>
      <w:r>
        <w:rPr>
          <w:rFonts w:ascii="Tahoma" w:hAnsi="Tahoma" w:cs="Tahoma"/>
          <w:lang w:val="en-US"/>
        </w:rPr>
        <w:t>Regional Rapid assessment tool</w:t>
      </w:r>
    </w:p>
  </w:footnote>
  <w:footnote w:id="11">
    <w:p w14:paraId="0A3B7872" w14:textId="77777777" w:rsidR="00E45EC4" w:rsidRPr="00B22C6A" w:rsidRDefault="00E45EC4">
      <w:pPr>
        <w:pStyle w:val="FootnoteText"/>
        <w:rPr>
          <w:lang w:val="en-US"/>
        </w:rPr>
      </w:pPr>
      <w:r>
        <w:rPr>
          <w:rStyle w:val="FootnoteReference"/>
        </w:rPr>
        <w:footnoteRef/>
      </w:r>
      <w:r>
        <w:t xml:space="preserve"> </w:t>
      </w:r>
      <w:r>
        <w:rPr>
          <w:rFonts w:ascii="Tahoma" w:hAnsi="Tahoma" w:cs="Tahoma"/>
        </w:rPr>
        <w:t xml:space="preserve">Adapted from </w:t>
      </w:r>
      <w:r>
        <w:rPr>
          <w:rFonts w:ascii="Tahoma" w:hAnsi="Tahoma" w:cs="Tahoma"/>
          <w:lang w:val="en-US"/>
        </w:rPr>
        <w:t>indicators</w:t>
      </w:r>
      <w:r w:rsidRPr="00EC0762">
        <w:rPr>
          <w:rFonts w:ascii="Tahoma" w:hAnsi="Tahoma" w:cs="Tahoma"/>
          <w:lang w:val="en-US"/>
        </w:rPr>
        <w:t xml:space="preserve"> in the ASRHR </w:t>
      </w:r>
      <w:r>
        <w:rPr>
          <w:rFonts w:ascii="Tahoma" w:hAnsi="Tahoma" w:cs="Tahoma"/>
          <w:lang w:val="en-US"/>
        </w:rPr>
        <w:t>Regional Rapid assessment tool</w:t>
      </w:r>
    </w:p>
  </w:footnote>
  <w:footnote w:id="12">
    <w:p w14:paraId="26885368" w14:textId="77777777" w:rsidR="00E45EC4" w:rsidRPr="00507FBA" w:rsidRDefault="00E45EC4" w:rsidP="005356E2">
      <w:pPr>
        <w:pStyle w:val="FootnoteText"/>
        <w:rPr>
          <w:rFonts w:ascii="Tahoma" w:hAnsi="Tahoma" w:cs="Tahoma"/>
          <w:lang w:val="en-US"/>
        </w:rPr>
      </w:pPr>
      <w:r w:rsidRPr="00507FBA">
        <w:rPr>
          <w:rStyle w:val="FootnoteReference"/>
          <w:rFonts w:ascii="Tahoma" w:hAnsi="Tahoma" w:cs="Tahoma"/>
        </w:rPr>
        <w:footnoteRef/>
      </w:r>
      <w:r w:rsidRPr="00507FBA">
        <w:rPr>
          <w:rFonts w:ascii="Tahoma" w:hAnsi="Tahoma" w:cs="Tahoma"/>
        </w:rPr>
        <w:t xml:space="preserve"> Adapted from </w:t>
      </w:r>
      <w:r w:rsidRPr="00507FBA">
        <w:rPr>
          <w:rFonts w:ascii="Tahoma" w:hAnsi="Tahoma" w:cs="Tahoma"/>
          <w:lang w:eastAsia="en-ZW"/>
        </w:rPr>
        <w:t xml:space="preserve">UNFPA (2021) </w:t>
      </w:r>
      <w:r w:rsidRPr="00507FBA">
        <w:rPr>
          <w:rFonts w:ascii="Tahoma" w:hAnsi="Tahoma" w:cs="Tahoma"/>
          <w:iCs/>
          <w:lang w:eastAsia="en-ZW"/>
        </w:rPr>
        <w:t>COVID-19, Gender, and Disability Checklist: Preventing and Addressing Gender-Based Violence against Women, Girls, and Gender Non-Conforming Persons with Disabilities during the COVID-19 Pandemic</w:t>
      </w:r>
      <w:r w:rsidRPr="00507FBA">
        <w:rPr>
          <w:rFonts w:ascii="Tahoma" w:hAnsi="Tahoma" w:cs="Tahoma"/>
          <w:lang w:eastAsia="en-ZW"/>
        </w:rPr>
        <w:t xml:space="preserve">, </w:t>
      </w:r>
      <w:hyperlink r:id="rId2" w:history="1">
        <w:r w:rsidRPr="00507FBA">
          <w:rPr>
            <w:rFonts w:ascii="Tahoma" w:hAnsi="Tahoma" w:cs="Tahoma"/>
            <w:color w:val="0000FF"/>
            <w:u w:val="single"/>
            <w:lang w:eastAsia="en-ZW"/>
          </w:rPr>
          <w:t>https://www.unfpa.org/resources/covid-19-gender-and-disability-checklist-preventing-and-addressing-gender-based-violence</w:t>
        </w:r>
      </w:hyperlink>
      <w:r w:rsidRPr="00507FBA">
        <w:rPr>
          <w:rFonts w:ascii="Tahoma" w:hAnsi="Tahoma" w:cs="Tahoma"/>
          <w:lang w:eastAsia="en-ZW"/>
        </w:rPr>
        <w:t>, accessed 11 July 2021.</w:t>
      </w:r>
    </w:p>
  </w:footnote>
  <w:footnote w:id="13">
    <w:p w14:paraId="56F473C7" w14:textId="77777777" w:rsidR="00E45EC4" w:rsidRPr="00507FBA" w:rsidRDefault="00E45EC4" w:rsidP="005356E2">
      <w:pPr>
        <w:pStyle w:val="FootnoteText"/>
        <w:rPr>
          <w:rFonts w:ascii="Tahoma" w:hAnsi="Tahoma" w:cs="Tahoma"/>
          <w:lang w:val="en-US"/>
        </w:rPr>
      </w:pPr>
      <w:r w:rsidRPr="00507FBA">
        <w:rPr>
          <w:rStyle w:val="FootnoteReference"/>
          <w:rFonts w:ascii="Tahoma" w:hAnsi="Tahoma" w:cs="Tahoma"/>
        </w:rPr>
        <w:footnoteRef/>
      </w:r>
      <w:r w:rsidRPr="00507FBA">
        <w:rPr>
          <w:rFonts w:ascii="Tahoma" w:hAnsi="Tahoma" w:cs="Tahoma"/>
        </w:rPr>
        <w:t xml:space="preserve"> </w:t>
      </w:r>
      <w:r w:rsidRPr="00507FBA">
        <w:rPr>
          <w:rFonts w:ascii="Tahoma" w:hAnsi="Tahoma" w:cs="Tahoma"/>
          <w:lang w:val="en-US"/>
        </w:rPr>
        <w:t>Adapted from Zimbabwe National Adolescent Sexual and Reproductive Health Strategy II, 2016-2020.</w:t>
      </w:r>
    </w:p>
  </w:footnote>
  <w:footnote w:id="14">
    <w:p w14:paraId="7B0A7F91" w14:textId="77777777" w:rsidR="00E45EC4" w:rsidRPr="004062DF" w:rsidRDefault="00E45EC4" w:rsidP="00613442">
      <w:pPr>
        <w:pStyle w:val="FootnoteText"/>
        <w:rPr>
          <w:lang w:val="en-US"/>
        </w:rPr>
      </w:pPr>
      <w:r>
        <w:rPr>
          <w:rStyle w:val="FootnoteReference"/>
        </w:rPr>
        <w:footnoteRef/>
      </w:r>
      <w:r>
        <w:t xml:space="preserve"> </w:t>
      </w:r>
      <w:r>
        <w:rPr>
          <w:lang w:val="en-US"/>
        </w:rPr>
        <w:t>Ibid</w:t>
      </w:r>
    </w:p>
  </w:footnote>
  <w:footnote w:id="15">
    <w:p w14:paraId="5CCCDB8E" w14:textId="77777777" w:rsidR="00E45EC4" w:rsidRPr="00773309" w:rsidRDefault="00E45EC4">
      <w:pPr>
        <w:pStyle w:val="FootnoteText"/>
        <w:rPr>
          <w:lang w:val="en-US"/>
        </w:rPr>
      </w:pPr>
      <w:r w:rsidRPr="00EC0762">
        <w:rPr>
          <w:rStyle w:val="FootnoteReference"/>
          <w:rFonts w:ascii="Tahoma" w:hAnsi="Tahoma" w:cs="Tahoma"/>
        </w:rPr>
        <w:footnoteRef/>
      </w:r>
      <w:r w:rsidRPr="00EC0762">
        <w:rPr>
          <w:rFonts w:ascii="Tahoma" w:hAnsi="Tahoma" w:cs="Tahoma"/>
        </w:rPr>
        <w:t xml:space="preserve"> Ibid</w:t>
      </w:r>
    </w:p>
  </w:footnote>
  <w:footnote w:id="16">
    <w:p w14:paraId="3A0FB66B" w14:textId="77777777" w:rsidR="00E45EC4" w:rsidRPr="00507FBA" w:rsidRDefault="00E45EC4" w:rsidP="00821DC6">
      <w:pPr>
        <w:pStyle w:val="FootnoteText"/>
        <w:rPr>
          <w:rFonts w:ascii="Tahoma" w:hAnsi="Tahoma" w:cs="Tahoma"/>
          <w:lang w:val="en-US"/>
        </w:rPr>
      </w:pPr>
      <w:r w:rsidRPr="00507FBA">
        <w:rPr>
          <w:rStyle w:val="FootnoteReference"/>
          <w:rFonts w:ascii="Tahoma" w:hAnsi="Tahoma" w:cs="Tahoma"/>
        </w:rPr>
        <w:footnoteRef/>
      </w:r>
      <w:r w:rsidRPr="00507FBA">
        <w:rPr>
          <w:rFonts w:ascii="Tahoma" w:hAnsi="Tahoma" w:cs="Tahoma"/>
        </w:rPr>
        <w:t xml:space="preserve"> </w:t>
      </w:r>
      <w:r w:rsidRPr="00507FBA">
        <w:rPr>
          <w:rFonts w:ascii="Tahoma" w:hAnsi="Tahoma" w:cs="Tahoma"/>
          <w:lang w:val="en-US"/>
        </w:rPr>
        <w:t>Adapted from SADC SRHR Strategy 2019-2030</w:t>
      </w:r>
    </w:p>
  </w:footnote>
  <w:footnote w:id="17">
    <w:p w14:paraId="07D60CED" w14:textId="77777777" w:rsidR="00E45EC4" w:rsidRPr="007A53A2" w:rsidRDefault="00E45EC4">
      <w:pPr>
        <w:pStyle w:val="FootnoteText"/>
        <w:rPr>
          <w:lang w:val="en-US"/>
        </w:rPr>
      </w:pPr>
      <w:r>
        <w:rPr>
          <w:rStyle w:val="FootnoteReference"/>
        </w:rPr>
        <w:footnoteRef/>
      </w:r>
      <w:r>
        <w:t xml:space="preserve"> </w:t>
      </w:r>
      <w:r>
        <w:rPr>
          <w:lang w:val="en-US"/>
        </w:rPr>
        <w:t>Adapted from recommendations in the Audit of SRHR Laws and Policies in SADC 2021</w:t>
      </w:r>
    </w:p>
  </w:footnote>
  <w:footnote w:id="18">
    <w:p w14:paraId="39BAA2B6" w14:textId="77777777" w:rsidR="00E45EC4" w:rsidRPr="00373B5D" w:rsidRDefault="00E45EC4">
      <w:pPr>
        <w:pStyle w:val="FootnoteText"/>
        <w:rPr>
          <w:lang w:val="en-US"/>
        </w:rPr>
      </w:pPr>
      <w:r>
        <w:rPr>
          <w:rStyle w:val="FootnoteReference"/>
        </w:rPr>
        <w:footnoteRef/>
      </w:r>
      <w:r>
        <w:t xml:space="preserve"> </w:t>
      </w:r>
      <w:r w:rsidRPr="00EC0762">
        <w:rPr>
          <w:rFonts w:ascii="Tahoma" w:hAnsi="Tahoma" w:cs="Tahoma"/>
        </w:rPr>
        <w:t>Adapted from WHO Guidelines for Adolescent Sexual and Reproductive Health and Rights (2018)</w:t>
      </w:r>
    </w:p>
  </w:footnote>
  <w:footnote w:id="19">
    <w:p w14:paraId="4800E5F3" w14:textId="77777777" w:rsidR="00E45EC4" w:rsidRPr="00C32C7A" w:rsidRDefault="00E45EC4">
      <w:pPr>
        <w:pStyle w:val="FootnoteText"/>
        <w:rPr>
          <w:lang w:val="en-US"/>
        </w:rPr>
      </w:pPr>
      <w:r>
        <w:rPr>
          <w:rStyle w:val="FootnoteReference"/>
        </w:rPr>
        <w:footnoteRef/>
      </w:r>
      <w:r>
        <w:t xml:space="preserve"> </w:t>
      </w:r>
      <w:r>
        <w:rPr>
          <w:rFonts w:ascii="Tahoma" w:hAnsi="Tahoma" w:cs="Tahoma"/>
        </w:rPr>
        <w:t xml:space="preserve">Adapted from </w:t>
      </w:r>
      <w:r>
        <w:rPr>
          <w:rFonts w:ascii="Tahoma" w:hAnsi="Tahoma" w:cs="Tahoma"/>
          <w:lang w:val="en-US"/>
        </w:rPr>
        <w:t>indicators</w:t>
      </w:r>
      <w:r w:rsidRPr="00EC0762">
        <w:rPr>
          <w:rFonts w:ascii="Tahoma" w:hAnsi="Tahoma" w:cs="Tahoma"/>
          <w:lang w:val="en-US"/>
        </w:rPr>
        <w:t xml:space="preserve"> in the ASRHR </w:t>
      </w:r>
      <w:r>
        <w:rPr>
          <w:rFonts w:ascii="Tahoma" w:hAnsi="Tahoma" w:cs="Tahoma"/>
          <w:lang w:val="en-US"/>
        </w:rPr>
        <w:t>Regional Rapid assessment tool</w:t>
      </w:r>
    </w:p>
  </w:footnote>
  <w:footnote w:id="20">
    <w:p w14:paraId="65828034" w14:textId="77777777" w:rsidR="00E45EC4" w:rsidRPr="00373B5D" w:rsidRDefault="00E45EC4" w:rsidP="005356E2">
      <w:pPr>
        <w:pStyle w:val="FootnoteText"/>
        <w:rPr>
          <w:lang w:val="en-US"/>
        </w:rPr>
      </w:pPr>
      <w:r>
        <w:rPr>
          <w:rStyle w:val="FootnoteReference"/>
        </w:rPr>
        <w:footnoteRef/>
      </w:r>
      <w:r>
        <w:t xml:space="preserve"> </w:t>
      </w:r>
      <w:r>
        <w:rPr>
          <w:lang w:val="en-US"/>
        </w:rPr>
        <w:t>Ibid</w:t>
      </w:r>
    </w:p>
  </w:footnote>
  <w:footnote w:id="21">
    <w:p w14:paraId="5A7D3E6E" w14:textId="77777777" w:rsidR="00E45EC4" w:rsidRPr="00977948" w:rsidRDefault="00E45EC4" w:rsidP="005356E2">
      <w:pPr>
        <w:pStyle w:val="FootnoteText"/>
        <w:rPr>
          <w:lang w:val="en-US"/>
        </w:rPr>
      </w:pPr>
      <w:r>
        <w:rPr>
          <w:rStyle w:val="FootnoteReference"/>
        </w:rPr>
        <w:footnoteRef/>
      </w:r>
      <w:r>
        <w:t xml:space="preserve"> </w:t>
      </w:r>
      <w:r w:rsidRPr="00977948">
        <w:rPr>
          <w:rFonts w:ascii="Tahoma" w:hAnsi="Tahoma" w:cs="Tahoma"/>
          <w:lang w:val="en-US"/>
        </w:rPr>
        <w:t>2021 SADC Voice and Choice Barometer recommendations</w:t>
      </w:r>
    </w:p>
  </w:footnote>
  <w:footnote w:id="22">
    <w:p w14:paraId="11D0DF40" w14:textId="77777777" w:rsidR="00E45EC4" w:rsidRPr="00FC76BD" w:rsidRDefault="00E45EC4">
      <w:pPr>
        <w:pStyle w:val="FootnoteText"/>
        <w:rPr>
          <w:lang w:val="en-US"/>
        </w:rPr>
      </w:pPr>
      <w:r>
        <w:rPr>
          <w:rStyle w:val="FootnoteReference"/>
        </w:rPr>
        <w:footnoteRef/>
      </w:r>
      <w:r>
        <w:t xml:space="preserve"> </w:t>
      </w:r>
      <w:r>
        <w:rPr>
          <w:rFonts w:ascii="Tahoma" w:hAnsi="Tahoma" w:cs="Tahoma"/>
        </w:rPr>
        <w:t xml:space="preserve">Adapted from </w:t>
      </w:r>
      <w:r>
        <w:rPr>
          <w:rFonts w:ascii="Tahoma" w:hAnsi="Tahoma" w:cs="Tahoma"/>
          <w:lang w:val="en-US"/>
        </w:rPr>
        <w:t>indicators</w:t>
      </w:r>
      <w:r w:rsidRPr="00EC0762">
        <w:rPr>
          <w:rFonts w:ascii="Tahoma" w:hAnsi="Tahoma" w:cs="Tahoma"/>
          <w:lang w:val="en-US"/>
        </w:rPr>
        <w:t xml:space="preserve"> in the ASRHR </w:t>
      </w:r>
      <w:r>
        <w:rPr>
          <w:rFonts w:ascii="Tahoma" w:hAnsi="Tahoma" w:cs="Tahoma"/>
          <w:lang w:val="en-US"/>
        </w:rPr>
        <w:t>Regional Rapid assessment tool</w:t>
      </w:r>
    </w:p>
  </w:footnote>
  <w:footnote w:id="23">
    <w:p w14:paraId="15115333" w14:textId="77777777" w:rsidR="00E45EC4" w:rsidRPr="005A4D23" w:rsidRDefault="00E45EC4" w:rsidP="00BF7C1F">
      <w:pPr>
        <w:pStyle w:val="FootnoteText"/>
        <w:rPr>
          <w:lang w:val="en-US"/>
        </w:rPr>
      </w:pPr>
      <w:r>
        <w:rPr>
          <w:rStyle w:val="FootnoteReference"/>
        </w:rPr>
        <w:footnoteRef/>
      </w:r>
      <w:r>
        <w:t xml:space="preserve"> </w:t>
      </w:r>
      <w:r>
        <w:rPr>
          <w:lang w:val="en-US"/>
        </w:rPr>
        <w:t>Ibid</w:t>
      </w:r>
    </w:p>
  </w:footnote>
  <w:footnote w:id="24">
    <w:p w14:paraId="54B180CD" w14:textId="77777777" w:rsidR="00E45EC4" w:rsidRPr="00507FBA" w:rsidRDefault="00E45EC4" w:rsidP="00BF7C1F">
      <w:pPr>
        <w:pStyle w:val="FootnoteText"/>
        <w:rPr>
          <w:rFonts w:ascii="Tahoma" w:hAnsi="Tahoma" w:cs="Tahoma"/>
          <w:lang w:val="en-US"/>
        </w:rPr>
      </w:pPr>
      <w:r>
        <w:rPr>
          <w:rStyle w:val="FootnoteReference"/>
        </w:rPr>
        <w:footnoteRef/>
      </w:r>
      <w:r>
        <w:t xml:space="preserve"> </w:t>
      </w:r>
      <w:r w:rsidRPr="00507FBA">
        <w:rPr>
          <w:rFonts w:ascii="Tahoma" w:hAnsi="Tahoma" w:cs="Tahoma"/>
          <w:lang w:val="en-US"/>
        </w:rPr>
        <w:t>Adapted from the South African National Contraception Clinical Guidelines 2019.</w:t>
      </w:r>
    </w:p>
  </w:footnote>
  <w:footnote w:id="25">
    <w:p w14:paraId="38A717EF" w14:textId="77777777" w:rsidR="00E45EC4" w:rsidRPr="00507FBA" w:rsidRDefault="00E45EC4" w:rsidP="00BF7C1F">
      <w:pPr>
        <w:pStyle w:val="FootnoteText"/>
        <w:rPr>
          <w:rFonts w:ascii="Tahoma" w:hAnsi="Tahoma" w:cs="Tahoma"/>
          <w:lang w:val="en-US"/>
        </w:rPr>
      </w:pPr>
      <w:r w:rsidRPr="00507FBA">
        <w:rPr>
          <w:rStyle w:val="FootnoteReference"/>
          <w:rFonts w:ascii="Tahoma" w:hAnsi="Tahoma" w:cs="Tahoma"/>
        </w:rPr>
        <w:footnoteRef/>
      </w:r>
      <w:r w:rsidRPr="00507FBA">
        <w:rPr>
          <w:rFonts w:ascii="Tahoma" w:hAnsi="Tahoma" w:cs="Tahoma"/>
        </w:rPr>
        <w:t xml:space="preserve"> </w:t>
      </w:r>
      <w:r w:rsidRPr="00507FBA">
        <w:rPr>
          <w:rFonts w:ascii="Tahoma" w:hAnsi="Tahoma" w:cs="Tahoma"/>
          <w:lang w:val="en-US"/>
        </w:rPr>
        <w:t>SADC SRHR Checklist</w:t>
      </w:r>
    </w:p>
  </w:footnote>
  <w:footnote w:id="26">
    <w:p w14:paraId="7D4DEF08" w14:textId="77777777" w:rsidR="00E45EC4" w:rsidRPr="00E25A8E" w:rsidRDefault="00E45EC4" w:rsidP="005356E2">
      <w:pPr>
        <w:pStyle w:val="FootnoteText"/>
        <w:rPr>
          <w:lang w:val="en-US"/>
        </w:rPr>
      </w:pPr>
      <w:r w:rsidRPr="00507FBA">
        <w:rPr>
          <w:rStyle w:val="FootnoteReference"/>
          <w:rFonts w:ascii="Tahoma" w:hAnsi="Tahoma" w:cs="Tahoma"/>
        </w:rPr>
        <w:footnoteRef/>
      </w:r>
      <w:r w:rsidRPr="00507FBA">
        <w:rPr>
          <w:rFonts w:ascii="Tahoma" w:hAnsi="Tahoma" w:cs="Tahoma"/>
        </w:rPr>
        <w:t xml:space="preserve"> Adapted from WHO Guidelines for Adolescent Sexual and Reproductive Health and Rights (2018)</w:t>
      </w:r>
    </w:p>
  </w:footnote>
  <w:footnote w:id="27">
    <w:p w14:paraId="31D8037D" w14:textId="77777777" w:rsidR="00E45EC4" w:rsidRPr="00693E45" w:rsidRDefault="00E45EC4">
      <w:pPr>
        <w:pStyle w:val="FootnoteText"/>
        <w:rPr>
          <w:lang w:val="en-US"/>
        </w:rPr>
      </w:pPr>
      <w:r>
        <w:rPr>
          <w:rStyle w:val="FootnoteReference"/>
        </w:rPr>
        <w:footnoteRef/>
      </w:r>
      <w:r>
        <w:t xml:space="preserve"> </w:t>
      </w:r>
      <w:r>
        <w:rPr>
          <w:lang w:val="en-US"/>
        </w:rPr>
        <w:t>Adapted from HIV Chapter, 2021 SADC Voice and Choice Barometer.</w:t>
      </w:r>
    </w:p>
  </w:footnote>
  <w:footnote w:id="28">
    <w:p w14:paraId="470A965F" w14:textId="77777777" w:rsidR="00E45EC4" w:rsidRPr="00400486" w:rsidRDefault="00E45EC4" w:rsidP="00DE3707">
      <w:pPr>
        <w:pStyle w:val="FootnoteText"/>
        <w:rPr>
          <w:rFonts w:ascii="Tahoma" w:hAnsi="Tahoma" w:cs="Tahoma"/>
          <w:lang w:val="en-US"/>
        </w:rPr>
      </w:pPr>
      <w:r>
        <w:rPr>
          <w:rStyle w:val="FootnoteReference"/>
        </w:rPr>
        <w:footnoteRef/>
      </w:r>
      <w:r>
        <w:t xml:space="preserve"> </w:t>
      </w:r>
      <w:r w:rsidRPr="00400486">
        <w:rPr>
          <w:rFonts w:ascii="Tahoma" w:hAnsi="Tahoma" w:cs="Tahoma"/>
        </w:rPr>
        <w:t>Adapted from WHO Guidelines for Adolescent Sexual and Reproductive Health and Rights (2018)</w:t>
      </w:r>
    </w:p>
  </w:footnote>
  <w:footnote w:id="29">
    <w:p w14:paraId="7C378AAF" w14:textId="77777777" w:rsidR="00E45EC4" w:rsidRPr="00400486" w:rsidRDefault="00E45EC4">
      <w:pPr>
        <w:pStyle w:val="FootnoteText"/>
        <w:rPr>
          <w:rFonts w:ascii="Tahoma" w:hAnsi="Tahoma" w:cs="Tahoma"/>
          <w:lang w:val="en-US"/>
        </w:rPr>
      </w:pPr>
      <w:r w:rsidRPr="00400486">
        <w:rPr>
          <w:rStyle w:val="FootnoteReference"/>
          <w:rFonts w:ascii="Tahoma" w:hAnsi="Tahoma" w:cs="Tahoma"/>
        </w:rPr>
        <w:footnoteRef/>
      </w:r>
      <w:r w:rsidRPr="00400486">
        <w:rPr>
          <w:rFonts w:ascii="Tahoma" w:hAnsi="Tahoma" w:cs="Tahoma"/>
        </w:rPr>
        <w:t xml:space="preserve"> </w:t>
      </w:r>
      <w:r w:rsidRPr="00400486">
        <w:rPr>
          <w:rFonts w:ascii="Tahoma" w:hAnsi="Tahoma" w:cs="Tahoma"/>
          <w:lang w:val="en-US"/>
        </w:rPr>
        <w:t>Ibid</w:t>
      </w:r>
    </w:p>
  </w:footnote>
  <w:footnote w:id="30">
    <w:p w14:paraId="79D0430C" w14:textId="77777777" w:rsidR="00E45EC4" w:rsidRPr="00400486" w:rsidRDefault="00E45EC4">
      <w:pPr>
        <w:pStyle w:val="FootnoteText"/>
        <w:rPr>
          <w:rFonts w:ascii="Tahoma" w:hAnsi="Tahoma" w:cs="Tahoma"/>
          <w:lang w:val="en-US"/>
        </w:rPr>
      </w:pPr>
      <w:r w:rsidRPr="00400486">
        <w:rPr>
          <w:rStyle w:val="FootnoteReference"/>
          <w:rFonts w:ascii="Tahoma" w:hAnsi="Tahoma" w:cs="Tahoma"/>
        </w:rPr>
        <w:footnoteRef/>
      </w:r>
      <w:r w:rsidRPr="00400486">
        <w:rPr>
          <w:rFonts w:ascii="Tahoma" w:hAnsi="Tahoma" w:cs="Tahoma"/>
        </w:rPr>
        <w:t xml:space="preserve"> </w:t>
      </w:r>
      <w:r w:rsidRPr="00400486">
        <w:rPr>
          <w:rFonts w:ascii="Tahoma" w:hAnsi="Tahoma" w:cs="Tahoma"/>
          <w:lang w:val="en-US"/>
        </w:rPr>
        <w:t>Ibid</w:t>
      </w:r>
    </w:p>
  </w:footnote>
  <w:footnote w:id="31">
    <w:p w14:paraId="45A91DB8" w14:textId="77777777" w:rsidR="00E45EC4" w:rsidRPr="00400486" w:rsidRDefault="00E45EC4">
      <w:pPr>
        <w:pStyle w:val="FootnoteText"/>
        <w:rPr>
          <w:rFonts w:ascii="Tahoma" w:hAnsi="Tahoma" w:cs="Tahoma"/>
          <w:lang w:val="en-US"/>
        </w:rPr>
      </w:pPr>
      <w:r w:rsidRPr="00400486">
        <w:rPr>
          <w:rStyle w:val="FootnoteReference"/>
          <w:rFonts w:ascii="Tahoma" w:hAnsi="Tahoma" w:cs="Tahoma"/>
        </w:rPr>
        <w:footnoteRef/>
      </w:r>
      <w:r w:rsidRPr="00400486">
        <w:rPr>
          <w:rFonts w:ascii="Tahoma" w:hAnsi="Tahoma" w:cs="Tahoma"/>
        </w:rPr>
        <w:t xml:space="preserve"> </w:t>
      </w:r>
      <w:r w:rsidRPr="00400486">
        <w:rPr>
          <w:rFonts w:ascii="Tahoma" w:hAnsi="Tahoma" w:cs="Tahoma"/>
          <w:lang w:val="en-US"/>
        </w:rPr>
        <w:t>Ibid</w:t>
      </w:r>
    </w:p>
  </w:footnote>
  <w:footnote w:id="32">
    <w:p w14:paraId="03E5E727" w14:textId="77777777" w:rsidR="00B45121" w:rsidRPr="00400486" w:rsidRDefault="00B45121">
      <w:pPr>
        <w:pStyle w:val="FootnoteText"/>
        <w:rPr>
          <w:rFonts w:ascii="Tahoma" w:hAnsi="Tahoma" w:cs="Tahoma"/>
          <w:lang w:val="en-US"/>
        </w:rPr>
      </w:pPr>
      <w:r w:rsidRPr="00400486">
        <w:rPr>
          <w:rStyle w:val="FootnoteReference"/>
          <w:rFonts w:ascii="Tahoma" w:hAnsi="Tahoma" w:cs="Tahoma"/>
        </w:rPr>
        <w:footnoteRef/>
      </w:r>
      <w:r w:rsidRPr="00400486">
        <w:rPr>
          <w:rFonts w:ascii="Tahoma" w:hAnsi="Tahoma" w:cs="Tahoma"/>
        </w:rPr>
        <w:t xml:space="preserve"> </w:t>
      </w:r>
      <w:r w:rsidRPr="00400486">
        <w:rPr>
          <w:rFonts w:ascii="Tahoma" w:hAnsi="Tahoma" w:cs="Tahoma"/>
          <w:lang w:val="en-US"/>
        </w:rPr>
        <w:t>Ibid</w:t>
      </w:r>
    </w:p>
  </w:footnote>
  <w:footnote w:id="33">
    <w:p w14:paraId="25E16556" w14:textId="77777777" w:rsidR="00E45EC4" w:rsidRPr="00400486" w:rsidRDefault="00E45EC4">
      <w:pPr>
        <w:pStyle w:val="FootnoteText"/>
        <w:rPr>
          <w:rFonts w:ascii="Tahoma" w:hAnsi="Tahoma" w:cs="Tahoma"/>
          <w:lang w:val="en-US"/>
        </w:rPr>
      </w:pPr>
      <w:r w:rsidRPr="00400486">
        <w:rPr>
          <w:rStyle w:val="FootnoteReference"/>
          <w:rFonts w:ascii="Tahoma" w:hAnsi="Tahoma" w:cs="Tahoma"/>
        </w:rPr>
        <w:footnoteRef/>
      </w:r>
      <w:r w:rsidRPr="00400486">
        <w:rPr>
          <w:rFonts w:ascii="Tahoma" w:hAnsi="Tahoma" w:cs="Tahoma"/>
        </w:rPr>
        <w:t xml:space="preserve"> Ibid</w:t>
      </w:r>
    </w:p>
  </w:footnote>
  <w:footnote w:id="34">
    <w:p w14:paraId="52F9677D" w14:textId="77777777" w:rsidR="00E45EC4" w:rsidRPr="00CF637D" w:rsidRDefault="00E45EC4">
      <w:pPr>
        <w:pStyle w:val="FootnoteText"/>
        <w:rPr>
          <w:lang w:val="en-US"/>
        </w:rPr>
      </w:pPr>
      <w:r w:rsidRPr="00400486">
        <w:rPr>
          <w:rStyle w:val="FootnoteReference"/>
          <w:rFonts w:ascii="Tahoma" w:hAnsi="Tahoma" w:cs="Tahoma"/>
        </w:rPr>
        <w:footnoteRef/>
      </w:r>
      <w:r w:rsidRPr="00400486">
        <w:rPr>
          <w:rFonts w:ascii="Tahoma" w:hAnsi="Tahoma" w:cs="Tahoma"/>
        </w:rPr>
        <w:t xml:space="preserve"> </w:t>
      </w:r>
      <w:r w:rsidRPr="00400486">
        <w:rPr>
          <w:rFonts w:ascii="Tahoma" w:hAnsi="Tahoma" w:cs="Tahoma"/>
          <w:lang w:val="en-US"/>
        </w:rPr>
        <w:t>Ibid</w:t>
      </w:r>
    </w:p>
  </w:footnote>
  <w:footnote w:id="35">
    <w:p w14:paraId="4503F8AE" w14:textId="77777777" w:rsidR="00E45EC4" w:rsidRPr="00CF637D" w:rsidRDefault="00E45EC4">
      <w:pPr>
        <w:pStyle w:val="FootnoteText"/>
        <w:rPr>
          <w:lang w:val="en-US"/>
        </w:rPr>
      </w:pPr>
      <w:r>
        <w:rPr>
          <w:rStyle w:val="FootnoteReference"/>
        </w:rPr>
        <w:footnoteRef/>
      </w:r>
      <w:r>
        <w:t xml:space="preserve"> </w:t>
      </w:r>
      <w:r>
        <w:rPr>
          <w:lang w:val="en-US"/>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771E"/>
    <w:multiLevelType w:val="hybridMultilevel"/>
    <w:tmpl w:val="F3129D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7247C6"/>
    <w:multiLevelType w:val="hybridMultilevel"/>
    <w:tmpl w:val="57DE3B7A"/>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2DC3A50"/>
    <w:multiLevelType w:val="hybridMultilevel"/>
    <w:tmpl w:val="3A565886"/>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5841ACE"/>
    <w:multiLevelType w:val="hybridMultilevel"/>
    <w:tmpl w:val="1A00D086"/>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1CA5292D"/>
    <w:multiLevelType w:val="hybridMultilevel"/>
    <w:tmpl w:val="52B0C2CE"/>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1CE7041C"/>
    <w:multiLevelType w:val="hybridMultilevel"/>
    <w:tmpl w:val="C55E4BF2"/>
    <w:lvl w:ilvl="0" w:tplc="FA5092E0">
      <w:start w:val="1"/>
      <w:numFmt w:val="bullet"/>
      <w:lvlText w:val=""/>
      <w:lvlJc w:val="left"/>
      <w:pPr>
        <w:ind w:left="360" w:hanging="360"/>
      </w:pPr>
      <w:rPr>
        <w:rFonts w:ascii="Symbol" w:hAnsi="Symbol" w:hint="default"/>
        <w:color w:val="auto"/>
      </w:rPr>
    </w:lvl>
    <w:lvl w:ilvl="1" w:tplc="02885FB2">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FB946BF"/>
    <w:multiLevelType w:val="hybridMultilevel"/>
    <w:tmpl w:val="DC648284"/>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256A179B"/>
    <w:multiLevelType w:val="hybridMultilevel"/>
    <w:tmpl w:val="D9E81CD6"/>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28115118"/>
    <w:multiLevelType w:val="multilevel"/>
    <w:tmpl w:val="E86056B4"/>
    <w:lvl w:ilvl="0">
      <w:start w:val="1"/>
      <w:numFmt w:val="decimal"/>
      <w:lvlText w:val="%1."/>
      <w:lvlJc w:val="left"/>
      <w:pPr>
        <w:ind w:left="720" w:hanging="360"/>
      </w:pPr>
      <w:rPr>
        <w:rFonts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F7B4E3F"/>
    <w:multiLevelType w:val="hybridMultilevel"/>
    <w:tmpl w:val="BB36B598"/>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30381F03"/>
    <w:multiLevelType w:val="hybridMultilevel"/>
    <w:tmpl w:val="CFA47FD2"/>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355077B0"/>
    <w:multiLevelType w:val="hybridMultilevel"/>
    <w:tmpl w:val="D0E8DEEA"/>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39181845"/>
    <w:multiLevelType w:val="hybridMultilevel"/>
    <w:tmpl w:val="59604BB0"/>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476826EC"/>
    <w:multiLevelType w:val="hybridMultilevel"/>
    <w:tmpl w:val="CC2688E0"/>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4AAE2AD7"/>
    <w:multiLevelType w:val="hybridMultilevel"/>
    <w:tmpl w:val="A6DE12AE"/>
    <w:lvl w:ilvl="0" w:tplc="3009000D">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4C9F2410"/>
    <w:multiLevelType w:val="hybridMultilevel"/>
    <w:tmpl w:val="4906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B133CF"/>
    <w:multiLevelType w:val="hybridMultilevel"/>
    <w:tmpl w:val="7D5CAAD8"/>
    <w:lvl w:ilvl="0" w:tplc="1C090001">
      <w:start w:val="1"/>
      <w:numFmt w:val="bullet"/>
      <w:lvlText w:val=""/>
      <w:lvlJc w:val="left"/>
      <w:pPr>
        <w:ind w:left="703" w:hanging="360"/>
      </w:pPr>
      <w:rPr>
        <w:rFonts w:ascii="Symbol" w:hAnsi="Symbol" w:hint="default"/>
      </w:rPr>
    </w:lvl>
    <w:lvl w:ilvl="1" w:tplc="1C090003" w:tentative="1">
      <w:start w:val="1"/>
      <w:numFmt w:val="bullet"/>
      <w:lvlText w:val="o"/>
      <w:lvlJc w:val="left"/>
      <w:pPr>
        <w:ind w:left="1423" w:hanging="360"/>
      </w:pPr>
      <w:rPr>
        <w:rFonts w:ascii="Courier New" w:hAnsi="Courier New" w:cs="Courier New" w:hint="default"/>
      </w:rPr>
    </w:lvl>
    <w:lvl w:ilvl="2" w:tplc="1C090005" w:tentative="1">
      <w:start w:val="1"/>
      <w:numFmt w:val="bullet"/>
      <w:lvlText w:val=""/>
      <w:lvlJc w:val="left"/>
      <w:pPr>
        <w:ind w:left="2143" w:hanging="360"/>
      </w:pPr>
      <w:rPr>
        <w:rFonts w:ascii="Wingdings" w:hAnsi="Wingdings" w:hint="default"/>
      </w:rPr>
    </w:lvl>
    <w:lvl w:ilvl="3" w:tplc="1C090001" w:tentative="1">
      <w:start w:val="1"/>
      <w:numFmt w:val="bullet"/>
      <w:lvlText w:val=""/>
      <w:lvlJc w:val="left"/>
      <w:pPr>
        <w:ind w:left="2863" w:hanging="360"/>
      </w:pPr>
      <w:rPr>
        <w:rFonts w:ascii="Symbol" w:hAnsi="Symbol" w:hint="default"/>
      </w:rPr>
    </w:lvl>
    <w:lvl w:ilvl="4" w:tplc="1C090003" w:tentative="1">
      <w:start w:val="1"/>
      <w:numFmt w:val="bullet"/>
      <w:lvlText w:val="o"/>
      <w:lvlJc w:val="left"/>
      <w:pPr>
        <w:ind w:left="3583" w:hanging="360"/>
      </w:pPr>
      <w:rPr>
        <w:rFonts w:ascii="Courier New" w:hAnsi="Courier New" w:cs="Courier New" w:hint="default"/>
      </w:rPr>
    </w:lvl>
    <w:lvl w:ilvl="5" w:tplc="1C090005" w:tentative="1">
      <w:start w:val="1"/>
      <w:numFmt w:val="bullet"/>
      <w:lvlText w:val=""/>
      <w:lvlJc w:val="left"/>
      <w:pPr>
        <w:ind w:left="4303" w:hanging="360"/>
      </w:pPr>
      <w:rPr>
        <w:rFonts w:ascii="Wingdings" w:hAnsi="Wingdings" w:hint="default"/>
      </w:rPr>
    </w:lvl>
    <w:lvl w:ilvl="6" w:tplc="1C090001" w:tentative="1">
      <w:start w:val="1"/>
      <w:numFmt w:val="bullet"/>
      <w:lvlText w:val=""/>
      <w:lvlJc w:val="left"/>
      <w:pPr>
        <w:ind w:left="5023" w:hanging="360"/>
      </w:pPr>
      <w:rPr>
        <w:rFonts w:ascii="Symbol" w:hAnsi="Symbol" w:hint="default"/>
      </w:rPr>
    </w:lvl>
    <w:lvl w:ilvl="7" w:tplc="1C090003" w:tentative="1">
      <w:start w:val="1"/>
      <w:numFmt w:val="bullet"/>
      <w:lvlText w:val="o"/>
      <w:lvlJc w:val="left"/>
      <w:pPr>
        <w:ind w:left="5743" w:hanging="360"/>
      </w:pPr>
      <w:rPr>
        <w:rFonts w:ascii="Courier New" w:hAnsi="Courier New" w:cs="Courier New" w:hint="default"/>
      </w:rPr>
    </w:lvl>
    <w:lvl w:ilvl="8" w:tplc="1C090005" w:tentative="1">
      <w:start w:val="1"/>
      <w:numFmt w:val="bullet"/>
      <w:lvlText w:val=""/>
      <w:lvlJc w:val="left"/>
      <w:pPr>
        <w:ind w:left="6463" w:hanging="360"/>
      </w:pPr>
      <w:rPr>
        <w:rFonts w:ascii="Wingdings" w:hAnsi="Wingdings" w:hint="default"/>
      </w:rPr>
    </w:lvl>
  </w:abstractNum>
  <w:abstractNum w:abstractNumId="17" w15:restartNumberingAfterBreak="0">
    <w:nsid w:val="55EB6437"/>
    <w:multiLevelType w:val="hybridMultilevel"/>
    <w:tmpl w:val="99F01A02"/>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568A3365"/>
    <w:multiLevelType w:val="hybridMultilevel"/>
    <w:tmpl w:val="67189F14"/>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59B71A68"/>
    <w:multiLevelType w:val="hybridMultilevel"/>
    <w:tmpl w:val="92B6C8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24374E8"/>
    <w:multiLevelType w:val="hybridMultilevel"/>
    <w:tmpl w:val="5444361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6AD3EA6"/>
    <w:multiLevelType w:val="hybridMultilevel"/>
    <w:tmpl w:val="0944DE38"/>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7143250"/>
    <w:multiLevelType w:val="hybridMultilevel"/>
    <w:tmpl w:val="A01E3F3E"/>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67EB7F42"/>
    <w:multiLevelType w:val="hybridMultilevel"/>
    <w:tmpl w:val="B47A6090"/>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68AD7F8D"/>
    <w:multiLevelType w:val="hybridMultilevel"/>
    <w:tmpl w:val="1B8ACE64"/>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EF33574"/>
    <w:multiLevelType w:val="hybridMultilevel"/>
    <w:tmpl w:val="E5CC4CD2"/>
    <w:lvl w:ilvl="0" w:tplc="1C090001">
      <w:start w:val="1"/>
      <w:numFmt w:val="bullet"/>
      <w:lvlText w:val=""/>
      <w:lvlJc w:val="left"/>
      <w:pPr>
        <w:ind w:left="360" w:hanging="360"/>
      </w:pPr>
      <w:rPr>
        <w:rFonts w:ascii="Symbol" w:hAnsi="Symbol" w:hint="default"/>
      </w:rPr>
    </w:lvl>
    <w:lvl w:ilvl="1" w:tplc="1C09000B">
      <w:start w:val="1"/>
      <w:numFmt w:val="bullet"/>
      <w:lvlText w:val=""/>
      <w:lvlJc w:val="left"/>
      <w:pPr>
        <w:ind w:left="1080" w:hanging="360"/>
      </w:pPr>
      <w:rPr>
        <w:rFonts w:ascii="Wingdings" w:hAnsi="Wingding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701E7D4E"/>
    <w:multiLevelType w:val="hybridMultilevel"/>
    <w:tmpl w:val="C0C0068A"/>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0926B54"/>
    <w:multiLevelType w:val="hybridMultilevel"/>
    <w:tmpl w:val="81B466CE"/>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79BD2404"/>
    <w:multiLevelType w:val="hybridMultilevel"/>
    <w:tmpl w:val="F1B8D26A"/>
    <w:lvl w:ilvl="0" w:tplc="1C090001">
      <w:start w:val="1"/>
      <w:numFmt w:val="bullet"/>
      <w:lvlText w:val=""/>
      <w:lvlJc w:val="left"/>
      <w:pPr>
        <w:ind w:left="20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D5A2532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46026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567ED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166EE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C2E79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7C719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A4FAA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182CB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18"/>
  </w:num>
  <w:num w:numId="3">
    <w:abstractNumId w:val="22"/>
  </w:num>
  <w:num w:numId="4">
    <w:abstractNumId w:val="2"/>
  </w:num>
  <w:num w:numId="5">
    <w:abstractNumId w:val="13"/>
  </w:num>
  <w:num w:numId="6">
    <w:abstractNumId w:val="12"/>
  </w:num>
  <w:num w:numId="7">
    <w:abstractNumId w:val="25"/>
  </w:num>
  <w:num w:numId="8">
    <w:abstractNumId w:val="21"/>
  </w:num>
  <w:num w:numId="9">
    <w:abstractNumId w:val="27"/>
  </w:num>
  <w:num w:numId="10">
    <w:abstractNumId w:val="17"/>
  </w:num>
  <w:num w:numId="11">
    <w:abstractNumId w:val="6"/>
  </w:num>
  <w:num w:numId="12">
    <w:abstractNumId w:val="3"/>
  </w:num>
  <w:num w:numId="13">
    <w:abstractNumId w:val="7"/>
  </w:num>
  <w:num w:numId="14">
    <w:abstractNumId w:val="11"/>
  </w:num>
  <w:num w:numId="15">
    <w:abstractNumId w:val="24"/>
  </w:num>
  <w:num w:numId="16">
    <w:abstractNumId w:val="14"/>
  </w:num>
  <w:num w:numId="17">
    <w:abstractNumId w:val="23"/>
  </w:num>
  <w:num w:numId="18">
    <w:abstractNumId w:val="5"/>
  </w:num>
  <w:num w:numId="19">
    <w:abstractNumId w:val="8"/>
  </w:num>
  <w:num w:numId="20">
    <w:abstractNumId w:val="10"/>
  </w:num>
  <w:num w:numId="21">
    <w:abstractNumId w:val="19"/>
  </w:num>
  <w:num w:numId="22">
    <w:abstractNumId w:val="15"/>
  </w:num>
  <w:num w:numId="23">
    <w:abstractNumId w:val="16"/>
  </w:num>
  <w:num w:numId="24">
    <w:abstractNumId w:val="28"/>
  </w:num>
  <w:num w:numId="25">
    <w:abstractNumId w:val="20"/>
  </w:num>
  <w:num w:numId="26">
    <w:abstractNumId w:val="9"/>
  </w:num>
  <w:num w:numId="27">
    <w:abstractNumId w:val="4"/>
  </w:num>
  <w:num w:numId="28">
    <w:abstractNumId w:val="2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C3"/>
    <w:rsid w:val="00002428"/>
    <w:rsid w:val="00006933"/>
    <w:rsid w:val="00012B69"/>
    <w:rsid w:val="0001381C"/>
    <w:rsid w:val="00024965"/>
    <w:rsid w:val="000253FE"/>
    <w:rsid w:val="0002679E"/>
    <w:rsid w:val="0003603A"/>
    <w:rsid w:val="0005197D"/>
    <w:rsid w:val="000529B6"/>
    <w:rsid w:val="00063920"/>
    <w:rsid w:val="00072D18"/>
    <w:rsid w:val="000776B8"/>
    <w:rsid w:val="00086C40"/>
    <w:rsid w:val="00090106"/>
    <w:rsid w:val="00090A96"/>
    <w:rsid w:val="00092342"/>
    <w:rsid w:val="000940F6"/>
    <w:rsid w:val="00094A63"/>
    <w:rsid w:val="000A04E2"/>
    <w:rsid w:val="000A5C7C"/>
    <w:rsid w:val="000B0BF9"/>
    <w:rsid w:val="000B1771"/>
    <w:rsid w:val="000B2656"/>
    <w:rsid w:val="000B7D29"/>
    <w:rsid w:val="000C1B43"/>
    <w:rsid w:val="000C393D"/>
    <w:rsid w:val="000C7B66"/>
    <w:rsid w:val="000D658A"/>
    <w:rsid w:val="000F4A1E"/>
    <w:rsid w:val="000F4F41"/>
    <w:rsid w:val="000F672D"/>
    <w:rsid w:val="00107FA7"/>
    <w:rsid w:val="0011378F"/>
    <w:rsid w:val="00120D3B"/>
    <w:rsid w:val="00124D35"/>
    <w:rsid w:val="00134238"/>
    <w:rsid w:val="00134718"/>
    <w:rsid w:val="00135D32"/>
    <w:rsid w:val="001439AF"/>
    <w:rsid w:val="00145C43"/>
    <w:rsid w:val="00147850"/>
    <w:rsid w:val="00147A94"/>
    <w:rsid w:val="00154155"/>
    <w:rsid w:val="00160FAF"/>
    <w:rsid w:val="00171122"/>
    <w:rsid w:val="00171194"/>
    <w:rsid w:val="00172E11"/>
    <w:rsid w:val="00174287"/>
    <w:rsid w:val="00175EB5"/>
    <w:rsid w:val="001768E4"/>
    <w:rsid w:val="00176BE2"/>
    <w:rsid w:val="00191C8B"/>
    <w:rsid w:val="00194A98"/>
    <w:rsid w:val="001B7E6C"/>
    <w:rsid w:val="001C6AB9"/>
    <w:rsid w:val="001D14A0"/>
    <w:rsid w:val="001D48F3"/>
    <w:rsid w:val="001D762C"/>
    <w:rsid w:val="001E26F7"/>
    <w:rsid w:val="001F44AF"/>
    <w:rsid w:val="001F6426"/>
    <w:rsid w:val="002021BF"/>
    <w:rsid w:val="00205C54"/>
    <w:rsid w:val="00214192"/>
    <w:rsid w:val="0022617B"/>
    <w:rsid w:val="0023518B"/>
    <w:rsid w:val="002428C9"/>
    <w:rsid w:val="00244D2C"/>
    <w:rsid w:val="00251E11"/>
    <w:rsid w:val="00251EFA"/>
    <w:rsid w:val="00253EE2"/>
    <w:rsid w:val="00256403"/>
    <w:rsid w:val="00262B61"/>
    <w:rsid w:val="00270B86"/>
    <w:rsid w:val="00272388"/>
    <w:rsid w:val="00276462"/>
    <w:rsid w:val="0028278A"/>
    <w:rsid w:val="00284209"/>
    <w:rsid w:val="00284443"/>
    <w:rsid w:val="002908EB"/>
    <w:rsid w:val="0029257C"/>
    <w:rsid w:val="002A4952"/>
    <w:rsid w:val="002A5FE8"/>
    <w:rsid w:val="002B319F"/>
    <w:rsid w:val="002C3084"/>
    <w:rsid w:val="002C4D3E"/>
    <w:rsid w:val="002D0E41"/>
    <w:rsid w:val="002D3191"/>
    <w:rsid w:val="002D4784"/>
    <w:rsid w:val="002D769C"/>
    <w:rsid w:val="002E0F73"/>
    <w:rsid w:val="002F0CA5"/>
    <w:rsid w:val="002F4E5C"/>
    <w:rsid w:val="00301F78"/>
    <w:rsid w:val="00306B2B"/>
    <w:rsid w:val="00333CF3"/>
    <w:rsid w:val="0033768F"/>
    <w:rsid w:val="00340744"/>
    <w:rsid w:val="00341FC1"/>
    <w:rsid w:val="0034623A"/>
    <w:rsid w:val="00347BE6"/>
    <w:rsid w:val="003505CC"/>
    <w:rsid w:val="00356E67"/>
    <w:rsid w:val="003649B5"/>
    <w:rsid w:val="00370980"/>
    <w:rsid w:val="00373B5D"/>
    <w:rsid w:val="00373BF0"/>
    <w:rsid w:val="003769D5"/>
    <w:rsid w:val="0038156E"/>
    <w:rsid w:val="003A5E52"/>
    <w:rsid w:val="003B3100"/>
    <w:rsid w:val="003B4098"/>
    <w:rsid w:val="003B6223"/>
    <w:rsid w:val="003C5932"/>
    <w:rsid w:val="003D6EA5"/>
    <w:rsid w:val="003F1941"/>
    <w:rsid w:val="003F1BFD"/>
    <w:rsid w:val="003F3879"/>
    <w:rsid w:val="003F7832"/>
    <w:rsid w:val="00400486"/>
    <w:rsid w:val="004004FF"/>
    <w:rsid w:val="0040146B"/>
    <w:rsid w:val="004042AA"/>
    <w:rsid w:val="004062DF"/>
    <w:rsid w:val="00413EA8"/>
    <w:rsid w:val="0041665C"/>
    <w:rsid w:val="004179B4"/>
    <w:rsid w:val="00424DAC"/>
    <w:rsid w:val="00424FC1"/>
    <w:rsid w:val="00440350"/>
    <w:rsid w:val="00445001"/>
    <w:rsid w:val="00471E8A"/>
    <w:rsid w:val="00472FF7"/>
    <w:rsid w:val="00476ADF"/>
    <w:rsid w:val="00477435"/>
    <w:rsid w:val="004859C0"/>
    <w:rsid w:val="0049162E"/>
    <w:rsid w:val="00492AA7"/>
    <w:rsid w:val="0049574F"/>
    <w:rsid w:val="004A0038"/>
    <w:rsid w:val="004A4D51"/>
    <w:rsid w:val="004A5F4A"/>
    <w:rsid w:val="004C14CB"/>
    <w:rsid w:val="004C7DBD"/>
    <w:rsid w:val="004E00F5"/>
    <w:rsid w:val="004E058A"/>
    <w:rsid w:val="004E0F82"/>
    <w:rsid w:val="004E2CFF"/>
    <w:rsid w:val="004E3763"/>
    <w:rsid w:val="004F09C4"/>
    <w:rsid w:val="00501C70"/>
    <w:rsid w:val="00504099"/>
    <w:rsid w:val="00507FBA"/>
    <w:rsid w:val="00513F52"/>
    <w:rsid w:val="005250D9"/>
    <w:rsid w:val="00527481"/>
    <w:rsid w:val="00532DF3"/>
    <w:rsid w:val="005356E2"/>
    <w:rsid w:val="00541375"/>
    <w:rsid w:val="00554E66"/>
    <w:rsid w:val="00555E1F"/>
    <w:rsid w:val="00573B71"/>
    <w:rsid w:val="00574C1D"/>
    <w:rsid w:val="00577A3E"/>
    <w:rsid w:val="0058158E"/>
    <w:rsid w:val="00581984"/>
    <w:rsid w:val="00586502"/>
    <w:rsid w:val="00590776"/>
    <w:rsid w:val="00592198"/>
    <w:rsid w:val="005942F6"/>
    <w:rsid w:val="005A4D23"/>
    <w:rsid w:val="005B4957"/>
    <w:rsid w:val="005B62C8"/>
    <w:rsid w:val="005D1D09"/>
    <w:rsid w:val="005D3DDE"/>
    <w:rsid w:val="005D6A3B"/>
    <w:rsid w:val="005E3A74"/>
    <w:rsid w:val="005F6597"/>
    <w:rsid w:val="00605F12"/>
    <w:rsid w:val="00607E78"/>
    <w:rsid w:val="00611EE1"/>
    <w:rsid w:val="00613442"/>
    <w:rsid w:val="00624D84"/>
    <w:rsid w:val="006327E1"/>
    <w:rsid w:val="00642E7D"/>
    <w:rsid w:val="00656F54"/>
    <w:rsid w:val="006628A5"/>
    <w:rsid w:val="00665A73"/>
    <w:rsid w:val="00667386"/>
    <w:rsid w:val="00675E6A"/>
    <w:rsid w:val="00682352"/>
    <w:rsid w:val="00686AE8"/>
    <w:rsid w:val="00691237"/>
    <w:rsid w:val="00692F9E"/>
    <w:rsid w:val="00693B6B"/>
    <w:rsid w:val="00693E45"/>
    <w:rsid w:val="006A5589"/>
    <w:rsid w:val="006A6599"/>
    <w:rsid w:val="006B15E7"/>
    <w:rsid w:val="006B3E7A"/>
    <w:rsid w:val="006B504F"/>
    <w:rsid w:val="006C385F"/>
    <w:rsid w:val="006C4068"/>
    <w:rsid w:val="006C43C0"/>
    <w:rsid w:val="006C5182"/>
    <w:rsid w:val="006E2D31"/>
    <w:rsid w:val="006E39BD"/>
    <w:rsid w:val="006F4DE1"/>
    <w:rsid w:val="006F5E8D"/>
    <w:rsid w:val="00702534"/>
    <w:rsid w:val="007030DF"/>
    <w:rsid w:val="0070374F"/>
    <w:rsid w:val="0070464C"/>
    <w:rsid w:val="00704656"/>
    <w:rsid w:val="0070718C"/>
    <w:rsid w:val="0071174B"/>
    <w:rsid w:val="0071573F"/>
    <w:rsid w:val="00727ED3"/>
    <w:rsid w:val="00732D00"/>
    <w:rsid w:val="00737AF9"/>
    <w:rsid w:val="00751979"/>
    <w:rsid w:val="007520F1"/>
    <w:rsid w:val="0075553A"/>
    <w:rsid w:val="00760FDD"/>
    <w:rsid w:val="00762E03"/>
    <w:rsid w:val="00773309"/>
    <w:rsid w:val="007753F8"/>
    <w:rsid w:val="00784CEA"/>
    <w:rsid w:val="007A53A2"/>
    <w:rsid w:val="007B2902"/>
    <w:rsid w:val="007B2ACD"/>
    <w:rsid w:val="007C00C9"/>
    <w:rsid w:val="007C5C05"/>
    <w:rsid w:val="007D0492"/>
    <w:rsid w:val="007E03F3"/>
    <w:rsid w:val="007E48FD"/>
    <w:rsid w:val="008019A6"/>
    <w:rsid w:val="00802F13"/>
    <w:rsid w:val="00805A9D"/>
    <w:rsid w:val="008074BD"/>
    <w:rsid w:val="00821DC6"/>
    <w:rsid w:val="00837F88"/>
    <w:rsid w:val="00852379"/>
    <w:rsid w:val="00854EE9"/>
    <w:rsid w:val="0086264A"/>
    <w:rsid w:val="008627C1"/>
    <w:rsid w:val="008649C3"/>
    <w:rsid w:val="00873BC7"/>
    <w:rsid w:val="00874353"/>
    <w:rsid w:val="008A0C30"/>
    <w:rsid w:val="008A1EDC"/>
    <w:rsid w:val="008A22C6"/>
    <w:rsid w:val="008A7C80"/>
    <w:rsid w:val="008B2D61"/>
    <w:rsid w:val="008C16B9"/>
    <w:rsid w:val="008C1A8A"/>
    <w:rsid w:val="008C4AEB"/>
    <w:rsid w:val="008C6504"/>
    <w:rsid w:val="008C665D"/>
    <w:rsid w:val="008D0E18"/>
    <w:rsid w:val="008D1ED1"/>
    <w:rsid w:val="008D7411"/>
    <w:rsid w:val="008E354E"/>
    <w:rsid w:val="008F0A9F"/>
    <w:rsid w:val="008F2EA5"/>
    <w:rsid w:val="008F4E8E"/>
    <w:rsid w:val="008F7DB4"/>
    <w:rsid w:val="00902970"/>
    <w:rsid w:val="00907447"/>
    <w:rsid w:val="00917867"/>
    <w:rsid w:val="00925747"/>
    <w:rsid w:val="0093494C"/>
    <w:rsid w:val="00936DDE"/>
    <w:rsid w:val="009533C7"/>
    <w:rsid w:val="00954F7B"/>
    <w:rsid w:val="00955702"/>
    <w:rsid w:val="00955C78"/>
    <w:rsid w:val="009668B0"/>
    <w:rsid w:val="00970A1C"/>
    <w:rsid w:val="00975198"/>
    <w:rsid w:val="00976441"/>
    <w:rsid w:val="00976A01"/>
    <w:rsid w:val="00977948"/>
    <w:rsid w:val="00982CDE"/>
    <w:rsid w:val="00986EFA"/>
    <w:rsid w:val="009929E7"/>
    <w:rsid w:val="009955BD"/>
    <w:rsid w:val="009A031C"/>
    <w:rsid w:val="009A070D"/>
    <w:rsid w:val="009A3040"/>
    <w:rsid w:val="009B1E5B"/>
    <w:rsid w:val="009B253F"/>
    <w:rsid w:val="009B2B61"/>
    <w:rsid w:val="009B536C"/>
    <w:rsid w:val="009B69DD"/>
    <w:rsid w:val="009C4E45"/>
    <w:rsid w:val="009C637E"/>
    <w:rsid w:val="009C7844"/>
    <w:rsid w:val="009E4E09"/>
    <w:rsid w:val="009F47A7"/>
    <w:rsid w:val="009F570F"/>
    <w:rsid w:val="00A06E7F"/>
    <w:rsid w:val="00A2156B"/>
    <w:rsid w:val="00A22B2E"/>
    <w:rsid w:val="00A25C18"/>
    <w:rsid w:val="00A3064A"/>
    <w:rsid w:val="00A30869"/>
    <w:rsid w:val="00A4248C"/>
    <w:rsid w:val="00A50DB8"/>
    <w:rsid w:val="00A519DE"/>
    <w:rsid w:val="00A51F9A"/>
    <w:rsid w:val="00A65039"/>
    <w:rsid w:val="00A67741"/>
    <w:rsid w:val="00A74C82"/>
    <w:rsid w:val="00A82095"/>
    <w:rsid w:val="00A827CC"/>
    <w:rsid w:val="00A85A27"/>
    <w:rsid w:val="00A906CA"/>
    <w:rsid w:val="00A928A5"/>
    <w:rsid w:val="00AA3218"/>
    <w:rsid w:val="00AA692B"/>
    <w:rsid w:val="00AB52DE"/>
    <w:rsid w:val="00AB7576"/>
    <w:rsid w:val="00AC114A"/>
    <w:rsid w:val="00AC488E"/>
    <w:rsid w:val="00AC4A05"/>
    <w:rsid w:val="00AC5149"/>
    <w:rsid w:val="00AF19F1"/>
    <w:rsid w:val="00AF2C7E"/>
    <w:rsid w:val="00AF3FA2"/>
    <w:rsid w:val="00AF4C7A"/>
    <w:rsid w:val="00B04F9B"/>
    <w:rsid w:val="00B0530D"/>
    <w:rsid w:val="00B13A14"/>
    <w:rsid w:val="00B13CC8"/>
    <w:rsid w:val="00B1443D"/>
    <w:rsid w:val="00B15BA2"/>
    <w:rsid w:val="00B22C6A"/>
    <w:rsid w:val="00B24820"/>
    <w:rsid w:val="00B26337"/>
    <w:rsid w:val="00B37691"/>
    <w:rsid w:val="00B402FC"/>
    <w:rsid w:val="00B45121"/>
    <w:rsid w:val="00B4621E"/>
    <w:rsid w:val="00B46CF9"/>
    <w:rsid w:val="00B47394"/>
    <w:rsid w:val="00B52312"/>
    <w:rsid w:val="00B565DF"/>
    <w:rsid w:val="00B575C4"/>
    <w:rsid w:val="00B57C96"/>
    <w:rsid w:val="00B61C20"/>
    <w:rsid w:val="00B645F7"/>
    <w:rsid w:val="00B65963"/>
    <w:rsid w:val="00B72665"/>
    <w:rsid w:val="00B74C8F"/>
    <w:rsid w:val="00B751DF"/>
    <w:rsid w:val="00B75E99"/>
    <w:rsid w:val="00B83555"/>
    <w:rsid w:val="00B84BB6"/>
    <w:rsid w:val="00B90153"/>
    <w:rsid w:val="00B946E9"/>
    <w:rsid w:val="00B95378"/>
    <w:rsid w:val="00B979E6"/>
    <w:rsid w:val="00BA0496"/>
    <w:rsid w:val="00BA46CD"/>
    <w:rsid w:val="00BB380D"/>
    <w:rsid w:val="00BB3845"/>
    <w:rsid w:val="00BB41D4"/>
    <w:rsid w:val="00BB6800"/>
    <w:rsid w:val="00BC050B"/>
    <w:rsid w:val="00BC654D"/>
    <w:rsid w:val="00BC7624"/>
    <w:rsid w:val="00BD4EAE"/>
    <w:rsid w:val="00BD5AEF"/>
    <w:rsid w:val="00BD6CE8"/>
    <w:rsid w:val="00BD7DF6"/>
    <w:rsid w:val="00BF3F44"/>
    <w:rsid w:val="00BF54CD"/>
    <w:rsid w:val="00BF5C83"/>
    <w:rsid w:val="00BF7C1F"/>
    <w:rsid w:val="00C018AF"/>
    <w:rsid w:val="00C07737"/>
    <w:rsid w:val="00C1424F"/>
    <w:rsid w:val="00C32C7A"/>
    <w:rsid w:val="00C35E63"/>
    <w:rsid w:val="00C45FE4"/>
    <w:rsid w:val="00C46074"/>
    <w:rsid w:val="00C61A84"/>
    <w:rsid w:val="00C627B4"/>
    <w:rsid w:val="00C66A5C"/>
    <w:rsid w:val="00C7464D"/>
    <w:rsid w:val="00C87DF6"/>
    <w:rsid w:val="00C93C0D"/>
    <w:rsid w:val="00C97778"/>
    <w:rsid w:val="00CA74A7"/>
    <w:rsid w:val="00CA7EF6"/>
    <w:rsid w:val="00CB02C2"/>
    <w:rsid w:val="00CB1166"/>
    <w:rsid w:val="00CB6339"/>
    <w:rsid w:val="00CC43EC"/>
    <w:rsid w:val="00CC4833"/>
    <w:rsid w:val="00CC65C6"/>
    <w:rsid w:val="00CC6ADF"/>
    <w:rsid w:val="00CD25D6"/>
    <w:rsid w:val="00CE1A61"/>
    <w:rsid w:val="00CE3AC6"/>
    <w:rsid w:val="00CF637D"/>
    <w:rsid w:val="00D04795"/>
    <w:rsid w:val="00D10431"/>
    <w:rsid w:val="00D201AA"/>
    <w:rsid w:val="00D20378"/>
    <w:rsid w:val="00D21EFA"/>
    <w:rsid w:val="00D2225E"/>
    <w:rsid w:val="00D25270"/>
    <w:rsid w:val="00D34E42"/>
    <w:rsid w:val="00D43924"/>
    <w:rsid w:val="00D4577B"/>
    <w:rsid w:val="00D4729E"/>
    <w:rsid w:val="00D51AAC"/>
    <w:rsid w:val="00D63C12"/>
    <w:rsid w:val="00D63F44"/>
    <w:rsid w:val="00D77DD1"/>
    <w:rsid w:val="00D900E9"/>
    <w:rsid w:val="00D97D03"/>
    <w:rsid w:val="00DA27E4"/>
    <w:rsid w:val="00DA2D54"/>
    <w:rsid w:val="00DA344F"/>
    <w:rsid w:val="00DB3941"/>
    <w:rsid w:val="00DC25A4"/>
    <w:rsid w:val="00DC5FD9"/>
    <w:rsid w:val="00DC7EB6"/>
    <w:rsid w:val="00DD1B78"/>
    <w:rsid w:val="00DD61BD"/>
    <w:rsid w:val="00DE3707"/>
    <w:rsid w:val="00DE5098"/>
    <w:rsid w:val="00DF03E4"/>
    <w:rsid w:val="00DF2E98"/>
    <w:rsid w:val="00E00621"/>
    <w:rsid w:val="00E01895"/>
    <w:rsid w:val="00E04412"/>
    <w:rsid w:val="00E1207B"/>
    <w:rsid w:val="00E17B67"/>
    <w:rsid w:val="00E219B2"/>
    <w:rsid w:val="00E2351D"/>
    <w:rsid w:val="00E2528E"/>
    <w:rsid w:val="00E25A8E"/>
    <w:rsid w:val="00E429EC"/>
    <w:rsid w:val="00E43532"/>
    <w:rsid w:val="00E45BD8"/>
    <w:rsid w:val="00E45EC4"/>
    <w:rsid w:val="00E473B2"/>
    <w:rsid w:val="00E47E07"/>
    <w:rsid w:val="00E5477E"/>
    <w:rsid w:val="00E63117"/>
    <w:rsid w:val="00E710F4"/>
    <w:rsid w:val="00E74236"/>
    <w:rsid w:val="00E76AF7"/>
    <w:rsid w:val="00E8172B"/>
    <w:rsid w:val="00E81EB9"/>
    <w:rsid w:val="00E8293C"/>
    <w:rsid w:val="00E86A51"/>
    <w:rsid w:val="00E86FE6"/>
    <w:rsid w:val="00E90C2E"/>
    <w:rsid w:val="00E925E4"/>
    <w:rsid w:val="00EA2479"/>
    <w:rsid w:val="00EA46EE"/>
    <w:rsid w:val="00EB31DC"/>
    <w:rsid w:val="00EB61E1"/>
    <w:rsid w:val="00EB69D7"/>
    <w:rsid w:val="00EC0762"/>
    <w:rsid w:val="00EC6000"/>
    <w:rsid w:val="00ED3F5B"/>
    <w:rsid w:val="00ED5140"/>
    <w:rsid w:val="00ED607D"/>
    <w:rsid w:val="00ED7B16"/>
    <w:rsid w:val="00EE3670"/>
    <w:rsid w:val="00F030EB"/>
    <w:rsid w:val="00F132FC"/>
    <w:rsid w:val="00F33721"/>
    <w:rsid w:val="00F35ABE"/>
    <w:rsid w:val="00F5600E"/>
    <w:rsid w:val="00F57EBD"/>
    <w:rsid w:val="00F61173"/>
    <w:rsid w:val="00F64F15"/>
    <w:rsid w:val="00F752C5"/>
    <w:rsid w:val="00F94D70"/>
    <w:rsid w:val="00FA2E2E"/>
    <w:rsid w:val="00FA6D59"/>
    <w:rsid w:val="00FB5EC5"/>
    <w:rsid w:val="00FC1497"/>
    <w:rsid w:val="00FC4EC1"/>
    <w:rsid w:val="00FC76BD"/>
    <w:rsid w:val="00FD51A0"/>
    <w:rsid w:val="00FE0584"/>
    <w:rsid w:val="00FF03EB"/>
    <w:rsid w:val="00FF1469"/>
    <w:rsid w:val="00FF1D2A"/>
    <w:rsid w:val="00FF70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985F"/>
  <w15:docId w15:val="{33DD75E1-1324-4C92-97B8-E42B395D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EOH paragraph,Figure_name,Use Case List Paragraph,Table (List),Numbered paragraph,Ha,HaCxSpLast,Colorful List - Accent 11,Proposal Heading 1.1,List Paragraph2,List Paragraph1,Citation List,Table of contents numbered,Dot pt"/>
    <w:basedOn w:val="Normal"/>
    <w:link w:val="ListParagraphChar"/>
    <w:uiPriority w:val="34"/>
    <w:qFormat/>
    <w:rsid w:val="00E01895"/>
    <w:pPr>
      <w:ind w:left="720"/>
      <w:contextualSpacing/>
    </w:pPr>
  </w:style>
  <w:style w:type="character" w:styleId="Hyperlink">
    <w:name w:val="Hyperlink"/>
    <w:basedOn w:val="DefaultParagraphFont"/>
    <w:uiPriority w:val="99"/>
    <w:unhideWhenUsed/>
    <w:rsid w:val="00D21EFA"/>
    <w:rPr>
      <w:color w:val="0000FF"/>
      <w:u w:val="single"/>
    </w:rPr>
  </w:style>
  <w:style w:type="paragraph" w:styleId="BalloonText">
    <w:name w:val="Balloon Text"/>
    <w:basedOn w:val="Normal"/>
    <w:link w:val="BalloonTextChar"/>
    <w:uiPriority w:val="99"/>
    <w:semiHidden/>
    <w:unhideWhenUsed/>
    <w:rsid w:val="006C3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85F"/>
    <w:rPr>
      <w:rFonts w:ascii="Segoe UI" w:hAnsi="Segoe UI" w:cs="Segoe UI"/>
      <w:sz w:val="18"/>
      <w:szCs w:val="18"/>
    </w:rPr>
  </w:style>
  <w:style w:type="paragraph" w:styleId="FootnoteText">
    <w:name w:val="footnote text"/>
    <w:aliases w:val="Footnote Text Char1 Char1,Footnote Text Char Char Char,Footnote Text Char1 Char Char Char,Footnote Text Char Char Char Char Char,Footnote Text Char1 Char1 Char1 Char Char Char,Footnote Text Char1 Char,a footnote text,Fonormal Char Char,fn"/>
    <w:basedOn w:val="Normal"/>
    <w:link w:val="FootnoteTextChar"/>
    <w:uiPriority w:val="99"/>
    <w:unhideWhenUsed/>
    <w:rsid w:val="006C385F"/>
    <w:pPr>
      <w:spacing w:after="0" w:line="240" w:lineRule="auto"/>
    </w:pPr>
    <w:rPr>
      <w:sz w:val="20"/>
      <w:szCs w:val="20"/>
      <w:lang w:val="en-ZA"/>
    </w:rPr>
  </w:style>
  <w:style w:type="character" w:customStyle="1" w:styleId="FootnoteTextChar">
    <w:name w:val="Footnote Text Char"/>
    <w:aliases w:val="Footnote Text Char1 Char1 Char,Footnote Text Char Char Char Char,Footnote Text Char1 Char Char Char Char,Footnote Text Char Char Char Char Char Char,Footnote Text Char1 Char1 Char1 Char Char Char Char,Footnote Text Char1 Char Char"/>
    <w:basedOn w:val="DefaultParagraphFont"/>
    <w:link w:val="FootnoteText"/>
    <w:uiPriority w:val="99"/>
    <w:rsid w:val="006C385F"/>
    <w:rPr>
      <w:sz w:val="20"/>
      <w:szCs w:val="20"/>
      <w:lang w:val="en-ZA"/>
    </w:rPr>
  </w:style>
  <w:style w:type="character" w:styleId="FootnoteReference">
    <w:name w:val="footnote reference"/>
    <w:aliases w:val="-E Fußnotenzeichen,Char Char,Heading 3 Char Char Char,Heading 3 Char Char Char Char,ftref,16 Point,Superscript 6 Point,Char Char2 Char Char Char,Footnote ref SHIPP,Footnote  superscript,4_G Char Char Char Char"/>
    <w:basedOn w:val="DefaultParagraphFont"/>
    <w:link w:val="4GCharCharChar"/>
    <w:uiPriority w:val="99"/>
    <w:unhideWhenUsed/>
    <w:qFormat/>
    <w:rsid w:val="006C385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6C385F"/>
    <w:pPr>
      <w:spacing w:line="240" w:lineRule="exact"/>
      <w:jc w:val="both"/>
    </w:pPr>
    <w:rPr>
      <w:vertAlign w:val="superscript"/>
    </w:rPr>
  </w:style>
  <w:style w:type="paragraph" w:styleId="Header">
    <w:name w:val="header"/>
    <w:basedOn w:val="Normal"/>
    <w:link w:val="HeaderChar"/>
    <w:uiPriority w:val="99"/>
    <w:unhideWhenUsed/>
    <w:rsid w:val="00235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18B"/>
  </w:style>
  <w:style w:type="paragraph" w:styleId="Footer">
    <w:name w:val="footer"/>
    <w:basedOn w:val="Normal"/>
    <w:link w:val="FooterChar"/>
    <w:uiPriority w:val="99"/>
    <w:unhideWhenUsed/>
    <w:rsid w:val="00235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18B"/>
  </w:style>
  <w:style w:type="paragraph" w:styleId="NoSpacing">
    <w:name w:val="No Spacing"/>
    <w:uiPriority w:val="1"/>
    <w:qFormat/>
    <w:rsid w:val="00171194"/>
    <w:pPr>
      <w:spacing w:after="0" w:line="240" w:lineRule="auto"/>
    </w:pPr>
    <w:rPr>
      <w:lang w:val="en-ZA"/>
    </w:rPr>
  </w:style>
  <w:style w:type="paragraph" w:customStyle="1" w:styleId="Default">
    <w:name w:val="Default"/>
    <w:rsid w:val="00424FC1"/>
    <w:pPr>
      <w:autoSpaceDE w:val="0"/>
      <w:autoSpaceDN w:val="0"/>
      <w:adjustRightInd w:val="0"/>
      <w:spacing w:after="0" w:line="240" w:lineRule="auto"/>
    </w:pPr>
    <w:rPr>
      <w:rFonts w:ascii="Lato" w:hAnsi="Lato" w:cs="Lato"/>
      <w:color w:val="000000"/>
      <w:sz w:val="24"/>
      <w:szCs w:val="24"/>
    </w:rPr>
  </w:style>
  <w:style w:type="character" w:customStyle="1" w:styleId="A20">
    <w:name w:val="A20"/>
    <w:uiPriority w:val="99"/>
    <w:rsid w:val="00424FC1"/>
    <w:rPr>
      <w:rFonts w:cs="Lato"/>
      <w:color w:val="000000"/>
      <w:sz w:val="22"/>
      <w:szCs w:val="22"/>
    </w:rPr>
  </w:style>
  <w:style w:type="paragraph" w:styleId="HTMLPreformatted">
    <w:name w:val="HTML Preformatted"/>
    <w:basedOn w:val="Normal"/>
    <w:link w:val="HTMLPreformattedChar"/>
    <w:uiPriority w:val="99"/>
    <w:semiHidden/>
    <w:unhideWhenUsed/>
    <w:rsid w:val="00E1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W"/>
    </w:rPr>
  </w:style>
  <w:style w:type="character" w:customStyle="1" w:styleId="HTMLPreformattedChar">
    <w:name w:val="HTML Preformatted Char"/>
    <w:basedOn w:val="DefaultParagraphFont"/>
    <w:link w:val="HTMLPreformatted"/>
    <w:uiPriority w:val="99"/>
    <w:semiHidden/>
    <w:rsid w:val="00E1207B"/>
    <w:rPr>
      <w:rFonts w:ascii="Courier New" w:eastAsia="Times New Roman" w:hAnsi="Courier New" w:cs="Courier New"/>
      <w:sz w:val="20"/>
      <w:szCs w:val="20"/>
      <w:lang w:eastAsia="en-ZW"/>
    </w:rPr>
  </w:style>
  <w:style w:type="character" w:customStyle="1" w:styleId="ListParagraphChar">
    <w:name w:val="List Paragraph Char"/>
    <w:aliases w:val="EOH bullet Char,EOH paragraph Char,Figure_name Char,Use Case List Paragraph Char,Table (List) Char,Numbered paragraph Char,Ha Char,HaCxSpLast Char,Colorful List - Accent 11 Char,Proposal Heading 1.1 Char,List Paragraph2 Char"/>
    <w:link w:val="ListParagraph"/>
    <w:uiPriority w:val="34"/>
    <w:locked/>
    <w:rsid w:val="000C393D"/>
  </w:style>
  <w:style w:type="table" w:styleId="TableGrid">
    <w:name w:val="Table Grid"/>
    <w:basedOn w:val="TableNormal"/>
    <w:uiPriority w:val="39"/>
    <w:rsid w:val="00E45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283">
      <w:bodyDiv w:val="1"/>
      <w:marLeft w:val="0"/>
      <w:marRight w:val="0"/>
      <w:marTop w:val="0"/>
      <w:marBottom w:val="0"/>
      <w:divBdr>
        <w:top w:val="none" w:sz="0" w:space="0" w:color="auto"/>
        <w:left w:val="none" w:sz="0" w:space="0" w:color="auto"/>
        <w:bottom w:val="none" w:sz="0" w:space="0" w:color="auto"/>
        <w:right w:val="none" w:sz="0" w:space="0" w:color="auto"/>
      </w:divBdr>
    </w:div>
    <w:div w:id="226839928">
      <w:bodyDiv w:val="1"/>
      <w:marLeft w:val="0"/>
      <w:marRight w:val="0"/>
      <w:marTop w:val="0"/>
      <w:marBottom w:val="0"/>
      <w:divBdr>
        <w:top w:val="none" w:sz="0" w:space="0" w:color="auto"/>
        <w:left w:val="none" w:sz="0" w:space="0" w:color="auto"/>
        <w:bottom w:val="none" w:sz="0" w:space="0" w:color="auto"/>
        <w:right w:val="none" w:sz="0" w:space="0" w:color="auto"/>
      </w:divBdr>
    </w:div>
    <w:div w:id="269242371">
      <w:bodyDiv w:val="1"/>
      <w:marLeft w:val="0"/>
      <w:marRight w:val="0"/>
      <w:marTop w:val="0"/>
      <w:marBottom w:val="0"/>
      <w:divBdr>
        <w:top w:val="none" w:sz="0" w:space="0" w:color="auto"/>
        <w:left w:val="none" w:sz="0" w:space="0" w:color="auto"/>
        <w:bottom w:val="none" w:sz="0" w:space="0" w:color="auto"/>
        <w:right w:val="none" w:sz="0" w:space="0" w:color="auto"/>
      </w:divBdr>
    </w:div>
    <w:div w:id="366833536">
      <w:bodyDiv w:val="1"/>
      <w:marLeft w:val="0"/>
      <w:marRight w:val="0"/>
      <w:marTop w:val="0"/>
      <w:marBottom w:val="0"/>
      <w:divBdr>
        <w:top w:val="none" w:sz="0" w:space="0" w:color="auto"/>
        <w:left w:val="none" w:sz="0" w:space="0" w:color="auto"/>
        <w:bottom w:val="none" w:sz="0" w:space="0" w:color="auto"/>
        <w:right w:val="none" w:sz="0" w:space="0" w:color="auto"/>
      </w:divBdr>
    </w:div>
    <w:div w:id="394427624">
      <w:bodyDiv w:val="1"/>
      <w:marLeft w:val="0"/>
      <w:marRight w:val="0"/>
      <w:marTop w:val="0"/>
      <w:marBottom w:val="0"/>
      <w:divBdr>
        <w:top w:val="none" w:sz="0" w:space="0" w:color="auto"/>
        <w:left w:val="none" w:sz="0" w:space="0" w:color="auto"/>
        <w:bottom w:val="none" w:sz="0" w:space="0" w:color="auto"/>
        <w:right w:val="none" w:sz="0" w:space="0" w:color="auto"/>
      </w:divBdr>
    </w:div>
    <w:div w:id="811751428">
      <w:bodyDiv w:val="1"/>
      <w:marLeft w:val="0"/>
      <w:marRight w:val="0"/>
      <w:marTop w:val="0"/>
      <w:marBottom w:val="0"/>
      <w:divBdr>
        <w:top w:val="none" w:sz="0" w:space="0" w:color="auto"/>
        <w:left w:val="none" w:sz="0" w:space="0" w:color="auto"/>
        <w:bottom w:val="none" w:sz="0" w:space="0" w:color="auto"/>
        <w:right w:val="none" w:sz="0" w:space="0" w:color="auto"/>
      </w:divBdr>
    </w:div>
    <w:div w:id="840120855">
      <w:bodyDiv w:val="1"/>
      <w:marLeft w:val="0"/>
      <w:marRight w:val="0"/>
      <w:marTop w:val="0"/>
      <w:marBottom w:val="0"/>
      <w:divBdr>
        <w:top w:val="none" w:sz="0" w:space="0" w:color="auto"/>
        <w:left w:val="none" w:sz="0" w:space="0" w:color="auto"/>
        <w:bottom w:val="none" w:sz="0" w:space="0" w:color="auto"/>
        <w:right w:val="none" w:sz="0" w:space="0" w:color="auto"/>
      </w:divBdr>
    </w:div>
    <w:div w:id="865750965">
      <w:bodyDiv w:val="1"/>
      <w:marLeft w:val="0"/>
      <w:marRight w:val="0"/>
      <w:marTop w:val="0"/>
      <w:marBottom w:val="0"/>
      <w:divBdr>
        <w:top w:val="none" w:sz="0" w:space="0" w:color="auto"/>
        <w:left w:val="none" w:sz="0" w:space="0" w:color="auto"/>
        <w:bottom w:val="none" w:sz="0" w:space="0" w:color="auto"/>
        <w:right w:val="none" w:sz="0" w:space="0" w:color="auto"/>
      </w:divBdr>
    </w:div>
    <w:div w:id="874271225">
      <w:bodyDiv w:val="1"/>
      <w:marLeft w:val="0"/>
      <w:marRight w:val="0"/>
      <w:marTop w:val="0"/>
      <w:marBottom w:val="0"/>
      <w:divBdr>
        <w:top w:val="none" w:sz="0" w:space="0" w:color="auto"/>
        <w:left w:val="none" w:sz="0" w:space="0" w:color="auto"/>
        <w:bottom w:val="none" w:sz="0" w:space="0" w:color="auto"/>
        <w:right w:val="none" w:sz="0" w:space="0" w:color="auto"/>
      </w:divBdr>
    </w:div>
    <w:div w:id="973489915">
      <w:bodyDiv w:val="1"/>
      <w:marLeft w:val="0"/>
      <w:marRight w:val="0"/>
      <w:marTop w:val="0"/>
      <w:marBottom w:val="0"/>
      <w:divBdr>
        <w:top w:val="none" w:sz="0" w:space="0" w:color="auto"/>
        <w:left w:val="none" w:sz="0" w:space="0" w:color="auto"/>
        <w:bottom w:val="none" w:sz="0" w:space="0" w:color="auto"/>
        <w:right w:val="none" w:sz="0" w:space="0" w:color="auto"/>
      </w:divBdr>
    </w:div>
    <w:div w:id="999962186">
      <w:bodyDiv w:val="1"/>
      <w:marLeft w:val="0"/>
      <w:marRight w:val="0"/>
      <w:marTop w:val="0"/>
      <w:marBottom w:val="0"/>
      <w:divBdr>
        <w:top w:val="none" w:sz="0" w:space="0" w:color="auto"/>
        <w:left w:val="none" w:sz="0" w:space="0" w:color="auto"/>
        <w:bottom w:val="none" w:sz="0" w:space="0" w:color="auto"/>
        <w:right w:val="none" w:sz="0" w:space="0" w:color="auto"/>
      </w:divBdr>
    </w:div>
    <w:div w:id="1116099823">
      <w:bodyDiv w:val="1"/>
      <w:marLeft w:val="0"/>
      <w:marRight w:val="0"/>
      <w:marTop w:val="0"/>
      <w:marBottom w:val="0"/>
      <w:divBdr>
        <w:top w:val="none" w:sz="0" w:space="0" w:color="auto"/>
        <w:left w:val="none" w:sz="0" w:space="0" w:color="auto"/>
        <w:bottom w:val="none" w:sz="0" w:space="0" w:color="auto"/>
        <w:right w:val="none" w:sz="0" w:space="0" w:color="auto"/>
      </w:divBdr>
    </w:div>
    <w:div w:id="1181816235">
      <w:bodyDiv w:val="1"/>
      <w:marLeft w:val="0"/>
      <w:marRight w:val="0"/>
      <w:marTop w:val="0"/>
      <w:marBottom w:val="0"/>
      <w:divBdr>
        <w:top w:val="none" w:sz="0" w:space="0" w:color="auto"/>
        <w:left w:val="none" w:sz="0" w:space="0" w:color="auto"/>
        <w:bottom w:val="none" w:sz="0" w:space="0" w:color="auto"/>
        <w:right w:val="none" w:sz="0" w:space="0" w:color="auto"/>
      </w:divBdr>
    </w:div>
    <w:div w:id="1218929321">
      <w:bodyDiv w:val="1"/>
      <w:marLeft w:val="0"/>
      <w:marRight w:val="0"/>
      <w:marTop w:val="0"/>
      <w:marBottom w:val="0"/>
      <w:divBdr>
        <w:top w:val="none" w:sz="0" w:space="0" w:color="auto"/>
        <w:left w:val="none" w:sz="0" w:space="0" w:color="auto"/>
        <w:bottom w:val="none" w:sz="0" w:space="0" w:color="auto"/>
        <w:right w:val="none" w:sz="0" w:space="0" w:color="auto"/>
      </w:divBdr>
    </w:div>
    <w:div w:id="1223323752">
      <w:bodyDiv w:val="1"/>
      <w:marLeft w:val="0"/>
      <w:marRight w:val="0"/>
      <w:marTop w:val="0"/>
      <w:marBottom w:val="0"/>
      <w:divBdr>
        <w:top w:val="none" w:sz="0" w:space="0" w:color="auto"/>
        <w:left w:val="none" w:sz="0" w:space="0" w:color="auto"/>
        <w:bottom w:val="none" w:sz="0" w:space="0" w:color="auto"/>
        <w:right w:val="none" w:sz="0" w:space="0" w:color="auto"/>
      </w:divBdr>
    </w:div>
    <w:div w:id="1295065972">
      <w:bodyDiv w:val="1"/>
      <w:marLeft w:val="0"/>
      <w:marRight w:val="0"/>
      <w:marTop w:val="0"/>
      <w:marBottom w:val="0"/>
      <w:divBdr>
        <w:top w:val="none" w:sz="0" w:space="0" w:color="auto"/>
        <w:left w:val="none" w:sz="0" w:space="0" w:color="auto"/>
        <w:bottom w:val="none" w:sz="0" w:space="0" w:color="auto"/>
        <w:right w:val="none" w:sz="0" w:space="0" w:color="auto"/>
      </w:divBdr>
    </w:div>
    <w:div w:id="1336568075">
      <w:bodyDiv w:val="1"/>
      <w:marLeft w:val="0"/>
      <w:marRight w:val="0"/>
      <w:marTop w:val="0"/>
      <w:marBottom w:val="0"/>
      <w:divBdr>
        <w:top w:val="none" w:sz="0" w:space="0" w:color="auto"/>
        <w:left w:val="none" w:sz="0" w:space="0" w:color="auto"/>
        <w:bottom w:val="none" w:sz="0" w:space="0" w:color="auto"/>
        <w:right w:val="none" w:sz="0" w:space="0" w:color="auto"/>
      </w:divBdr>
    </w:div>
    <w:div w:id="1498307969">
      <w:bodyDiv w:val="1"/>
      <w:marLeft w:val="0"/>
      <w:marRight w:val="0"/>
      <w:marTop w:val="0"/>
      <w:marBottom w:val="0"/>
      <w:divBdr>
        <w:top w:val="none" w:sz="0" w:space="0" w:color="auto"/>
        <w:left w:val="none" w:sz="0" w:space="0" w:color="auto"/>
        <w:bottom w:val="none" w:sz="0" w:space="0" w:color="auto"/>
        <w:right w:val="none" w:sz="0" w:space="0" w:color="auto"/>
      </w:divBdr>
    </w:div>
    <w:div w:id="1714037769">
      <w:bodyDiv w:val="1"/>
      <w:marLeft w:val="0"/>
      <w:marRight w:val="0"/>
      <w:marTop w:val="0"/>
      <w:marBottom w:val="0"/>
      <w:divBdr>
        <w:top w:val="none" w:sz="0" w:space="0" w:color="auto"/>
        <w:left w:val="none" w:sz="0" w:space="0" w:color="auto"/>
        <w:bottom w:val="none" w:sz="0" w:space="0" w:color="auto"/>
        <w:right w:val="none" w:sz="0" w:space="0" w:color="auto"/>
      </w:divBdr>
    </w:div>
    <w:div w:id="1862862077">
      <w:bodyDiv w:val="1"/>
      <w:marLeft w:val="0"/>
      <w:marRight w:val="0"/>
      <w:marTop w:val="0"/>
      <w:marBottom w:val="0"/>
      <w:divBdr>
        <w:top w:val="none" w:sz="0" w:space="0" w:color="auto"/>
        <w:left w:val="none" w:sz="0" w:space="0" w:color="auto"/>
        <w:bottom w:val="none" w:sz="0" w:space="0" w:color="auto"/>
        <w:right w:val="none" w:sz="0" w:space="0" w:color="auto"/>
      </w:divBdr>
    </w:div>
    <w:div w:id="1998652922">
      <w:bodyDiv w:val="1"/>
      <w:marLeft w:val="0"/>
      <w:marRight w:val="0"/>
      <w:marTop w:val="0"/>
      <w:marBottom w:val="0"/>
      <w:divBdr>
        <w:top w:val="none" w:sz="0" w:space="0" w:color="auto"/>
        <w:left w:val="none" w:sz="0" w:space="0" w:color="auto"/>
        <w:bottom w:val="none" w:sz="0" w:space="0" w:color="auto"/>
        <w:right w:val="none" w:sz="0" w:space="0" w:color="auto"/>
      </w:divBdr>
    </w:div>
    <w:div w:id="2007241824">
      <w:bodyDiv w:val="1"/>
      <w:marLeft w:val="0"/>
      <w:marRight w:val="0"/>
      <w:marTop w:val="0"/>
      <w:marBottom w:val="0"/>
      <w:divBdr>
        <w:top w:val="none" w:sz="0" w:space="0" w:color="auto"/>
        <w:left w:val="none" w:sz="0" w:space="0" w:color="auto"/>
        <w:bottom w:val="none" w:sz="0" w:space="0" w:color="auto"/>
        <w:right w:val="none" w:sz="0" w:space="0" w:color="auto"/>
      </w:divBdr>
    </w:div>
    <w:div w:id="205869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unfpa.org/resources/covid-19-gender-and-disability-checklist-preventing-and-addressing-gender-based-violence" TargetMode="External"/><Relationship Id="rId2" Type="http://schemas.openxmlformats.org/officeDocument/2006/relationships/customXml" Target="../customXml/item2.xml"/><Relationship Id="rId16" Type="http://schemas.openxmlformats.org/officeDocument/2006/relationships/hyperlink" Target="https://www.hrw.org/report/2018/06/14/leave-no-girl-behind-africa/discrimination-education-against-pregnant-girls-a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EVIN\AppData\Local\Microsoft\Windows\INetCache\Content.MSO\EE8367F3.xls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fpa.org/resources/covid-19-gender-and-disability-checklist-preventing-and-addressing-gender-based-violence" TargetMode="External"/><Relationship Id="rId1" Type="http://schemas.openxmlformats.org/officeDocument/2006/relationships/hyperlink" Target="https://www.who.int/reproductivehealth/publications/adolescent-srhr-who-recommendation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5818AA992C224486F30831F6D9BFEC" ma:contentTypeVersion="10" ma:contentTypeDescription="Create a new document." ma:contentTypeScope="" ma:versionID="45057845fc380d81983886831f0f5cbd">
  <xsd:schema xmlns:xsd="http://www.w3.org/2001/XMLSchema" xmlns:xs="http://www.w3.org/2001/XMLSchema" xmlns:p="http://schemas.microsoft.com/office/2006/metadata/properties" xmlns:ns2="386b4bcc-3771-4cf3-910e-10b4da597aff" targetNamespace="http://schemas.microsoft.com/office/2006/metadata/properties" ma:root="true" ma:fieldsID="1c6abd865cbb174e7867eaef90263d32" ns2:_="">
    <xsd:import namespace="386b4bcc-3771-4cf3-910e-10b4da597a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b4bcc-3771-4cf3-910e-10b4da59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CD560-0335-4AC7-9128-AC9C0F45BE2C}">
  <ds:schemaRefs>
    <ds:schemaRef ds:uri="http://schemas.microsoft.com/sharepoint/v3/contenttype/forms"/>
  </ds:schemaRefs>
</ds:datastoreItem>
</file>

<file path=customXml/itemProps2.xml><?xml version="1.0" encoding="utf-8"?>
<ds:datastoreItem xmlns:ds="http://schemas.openxmlformats.org/officeDocument/2006/customXml" ds:itemID="{9433AA8A-9D7E-47CD-A928-90E53DC943CC}">
  <ds:schemaRefs>
    <ds:schemaRef ds:uri="386b4bcc-3771-4cf3-910e-10b4da597af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F56A592-AEF7-49C8-B399-0A1B70696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b4bcc-3771-4cf3-910e-10b4da597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82E5A-C817-4E2F-819A-BE6B0D226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3130</Words>
  <Characters>17847</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Chiramba</dc:creator>
  <cp:lastModifiedBy>Colleen Lowe Morna</cp:lastModifiedBy>
  <cp:revision>2</cp:revision>
  <dcterms:created xsi:type="dcterms:W3CDTF">2022-02-09T03:36:00Z</dcterms:created>
  <dcterms:modified xsi:type="dcterms:W3CDTF">2022-02-09T03:36:00Z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0x010100705818AA992C224486F30831F6D9BFEC</vt:lpwstr>
  </property>
</Properties>
</file>