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CAAB" w14:textId="08F56CD5" w:rsidR="00CC0371" w:rsidRDefault="003A26CB"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r>
        <w:rPr>
          <w:rFonts w:ascii="Tahoma" w:eastAsia="Times New Roman" w:hAnsi="Tahoma" w:cs="Tahoma"/>
          <w:noProof/>
          <w:color w:val="000000"/>
          <w:kern w:val="0"/>
          <w:sz w:val="22"/>
          <w:szCs w:val="22"/>
          <w:lang w:eastAsia="en-GB"/>
        </w:rPr>
        <w:drawing>
          <wp:anchor distT="0" distB="0" distL="114300" distR="114300" simplePos="0" relativeHeight="251658240" behindDoc="1" locked="0" layoutInCell="1" allowOverlap="1" wp14:anchorId="77517071" wp14:editId="2ECC8998">
            <wp:simplePos x="0" y="0"/>
            <wp:positionH relativeFrom="column">
              <wp:posOffset>0</wp:posOffset>
            </wp:positionH>
            <wp:positionV relativeFrom="paragraph">
              <wp:posOffset>22860</wp:posOffset>
            </wp:positionV>
            <wp:extent cx="1643001" cy="1584000"/>
            <wp:effectExtent l="0" t="0" r="0" b="3810"/>
            <wp:wrapTight wrapText="bothSides">
              <wp:wrapPolygon edited="0">
                <wp:start x="0" y="0"/>
                <wp:lineTo x="0" y="21479"/>
                <wp:lineTo x="21375" y="21479"/>
                <wp:lineTo x="21375" y="0"/>
                <wp:lineTo x="0" y="0"/>
              </wp:wrapPolygon>
            </wp:wrapTight>
            <wp:docPr id="439382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82358" name="Picture 43938235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3001" cy="1584000"/>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bCs/>
          <w:color w:val="000000"/>
          <w:kern w:val="0"/>
          <w:sz w:val="22"/>
          <w:szCs w:val="22"/>
          <w:lang w:eastAsia="en-GB"/>
          <w14:ligatures w14:val="none"/>
        </w:rPr>
        <w:t>COMMUNICATING RESULTS</w:t>
      </w:r>
    </w:p>
    <w:p w14:paraId="6008FCA4" w14:textId="20659032" w:rsidR="003A26CB" w:rsidRPr="00CC0371" w:rsidRDefault="003A26CB"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p>
    <w:p w14:paraId="7F602E0F" w14:textId="7E046075" w:rsidR="003A26CB" w:rsidRDefault="003A26CB" w:rsidP="003A26CB">
      <w:pPr>
        <w:spacing w:after="0" w:line="240" w:lineRule="auto"/>
        <w:jc w:val="both"/>
        <w:rPr>
          <w:rFonts w:ascii="Tahoma" w:eastAsia="Times New Roman" w:hAnsi="Tahoma" w:cs="Tahoma"/>
          <w:color w:val="000000"/>
          <w:kern w:val="0"/>
          <w:sz w:val="22"/>
          <w:szCs w:val="22"/>
          <w:lang w:eastAsia="en-GB"/>
          <w14:ligatures w14:val="none"/>
        </w:rPr>
      </w:pPr>
      <w:r w:rsidRPr="003A26CB">
        <w:rPr>
          <w:rFonts w:ascii="Tahoma" w:eastAsia="Times New Roman" w:hAnsi="Tahoma" w:cs="Tahoma"/>
          <w:color w:val="000000"/>
          <w:kern w:val="0"/>
          <w:sz w:val="22"/>
          <w:szCs w:val="22"/>
          <w:lang w:eastAsia="en-GB"/>
          <w14:ligatures w14:val="none"/>
        </w:rPr>
        <w:t>Effective communication is central to Gender Links’ mission to advance gender equality and women’s rights across Southern Africa. Over the past two decades, GL has built a strong reputation as both an advocacy organisation and a knowledge hub, using research, campaigns, and storytelling to influence public debate, shift social norms, and strengthen accountability for gender justice.</w:t>
      </w:r>
    </w:p>
    <w:p w14:paraId="6987B45F" w14:textId="77777777" w:rsidR="003A26CB" w:rsidRPr="003A26CB" w:rsidRDefault="003A26CB" w:rsidP="003A26CB">
      <w:pPr>
        <w:spacing w:after="0" w:line="240" w:lineRule="auto"/>
        <w:jc w:val="both"/>
        <w:rPr>
          <w:rFonts w:ascii="Tahoma" w:eastAsia="Times New Roman" w:hAnsi="Tahoma" w:cs="Tahoma"/>
          <w:color w:val="000000"/>
          <w:kern w:val="0"/>
          <w:sz w:val="22"/>
          <w:szCs w:val="22"/>
          <w:lang w:eastAsia="en-GB"/>
          <w14:ligatures w14:val="none"/>
        </w:rPr>
      </w:pPr>
    </w:p>
    <w:p w14:paraId="27D3E1CC" w14:textId="77777777" w:rsidR="003A26CB" w:rsidRDefault="003A26CB" w:rsidP="003A26CB">
      <w:pPr>
        <w:spacing w:after="0" w:line="240" w:lineRule="auto"/>
        <w:jc w:val="both"/>
        <w:rPr>
          <w:rFonts w:ascii="Tahoma" w:eastAsia="Times New Roman" w:hAnsi="Tahoma" w:cs="Tahoma"/>
          <w:color w:val="000000"/>
          <w:kern w:val="0"/>
          <w:sz w:val="22"/>
          <w:szCs w:val="22"/>
          <w:lang w:eastAsia="en-GB"/>
          <w14:ligatures w14:val="none"/>
        </w:rPr>
      </w:pPr>
      <w:r w:rsidRPr="003A26CB">
        <w:rPr>
          <w:rFonts w:ascii="Tahoma" w:eastAsia="Times New Roman" w:hAnsi="Tahoma" w:cs="Tahoma"/>
          <w:color w:val="000000"/>
          <w:kern w:val="0"/>
          <w:sz w:val="22"/>
          <w:szCs w:val="22"/>
          <w:lang w:eastAsia="en-GB"/>
          <w14:ligatures w14:val="none"/>
        </w:rPr>
        <w:t>GL amplifies its work through mainstream media, digital platforms, websites, newsletters, and social media. Communication is integrated across all programmes, ensuring that research findings, lived experiences, and advocacy messages reach policymakers, partners, and the public.</w:t>
      </w:r>
    </w:p>
    <w:p w14:paraId="6DDB3E1D" w14:textId="77777777" w:rsidR="003A26CB" w:rsidRDefault="003A26CB"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p>
    <w:p w14:paraId="6A5D4EAF" w14:textId="439608C5" w:rsidR="00CC0371" w:rsidRPr="00CC0371" w:rsidRDefault="00CC0371"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Goal</w:t>
      </w:r>
    </w:p>
    <w:p w14:paraId="18A08C55" w14:textId="77777777"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To position Gender Links as a trusted regional voice, knowledge hub, and catalyst for gender justice by using strategic communications to influence attitudes, shift social norms, and strengthen accountability for gender equality across Southern Africa.</w:t>
      </w:r>
    </w:p>
    <w:p w14:paraId="62345CE9" w14:textId="35536F7C" w:rsidR="00CC0371" w:rsidRPr="00CC0371" w:rsidRDefault="00CC0371" w:rsidP="00CC0371">
      <w:pPr>
        <w:spacing w:after="0" w:line="240" w:lineRule="auto"/>
        <w:jc w:val="both"/>
        <w:rPr>
          <w:rFonts w:ascii="Tahoma" w:eastAsia="Times New Roman" w:hAnsi="Tahoma" w:cs="Tahoma"/>
          <w:kern w:val="0"/>
          <w:sz w:val="22"/>
          <w:szCs w:val="22"/>
          <w:lang w:eastAsia="en-GB"/>
          <w14:ligatures w14:val="none"/>
        </w:rPr>
      </w:pPr>
    </w:p>
    <w:p w14:paraId="0DDD5427" w14:textId="77777777" w:rsidR="00CC0371" w:rsidRPr="00CC0371" w:rsidRDefault="00CC0371"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Specific Objectives</w:t>
      </w:r>
    </w:p>
    <w:p w14:paraId="7EF21928" w14:textId="77777777" w:rsidR="00CC0371" w:rsidRPr="00CC0371" w:rsidRDefault="00CC0371" w:rsidP="00CC0371">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Strengthen Gender Links’ brand visibility and credibility as a leading voice on gender equality and women’s rights in Southern Africa.</w:t>
      </w:r>
    </w:p>
    <w:p w14:paraId="28BC0E31" w14:textId="77777777" w:rsidR="00CC0371" w:rsidRPr="00CC0371" w:rsidRDefault="00CC0371" w:rsidP="00CC0371">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Expand digital platforms and multimedia storytelling to reach wider and more diverse audiences.</w:t>
      </w:r>
    </w:p>
    <w:p w14:paraId="51792E9D" w14:textId="77777777" w:rsidR="00CC0371" w:rsidRPr="00CC0371" w:rsidRDefault="00CC0371" w:rsidP="00CC0371">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Amplify lived experiences and success stories that demonstrate the impact of gender equality initiatives.</w:t>
      </w:r>
    </w:p>
    <w:p w14:paraId="30FE1B72" w14:textId="77777777" w:rsidR="00CC0371" w:rsidRPr="00CC0371" w:rsidRDefault="00CC0371" w:rsidP="00CC0371">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Translate research and evidence into accessible communication products that influence public debate and policymaking.</w:t>
      </w:r>
    </w:p>
    <w:p w14:paraId="1F6FB929" w14:textId="77777777" w:rsidR="00CC0371" w:rsidRPr="00CC0371" w:rsidRDefault="00CC0371" w:rsidP="00CC0371">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Strengthen partnerships with media organisations, digital creators, and advocacy networks to expand the reach of GL messaging.</w:t>
      </w:r>
    </w:p>
    <w:p w14:paraId="1C1F1E15" w14:textId="77777777" w:rsidR="00CC0371" w:rsidRPr="00CC0371" w:rsidRDefault="00CC0371" w:rsidP="00CC0371">
      <w:pPr>
        <w:numPr>
          <w:ilvl w:val="0"/>
          <w:numId w:val="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Build the communication capacity of staff, partners, and programme participants to contribute to storytelling and advocacy.</w:t>
      </w:r>
    </w:p>
    <w:p w14:paraId="70D1CA57" w14:textId="11423E0F" w:rsidR="00CC0371" w:rsidRPr="00CC0371" w:rsidRDefault="00CC0371" w:rsidP="00CC0371">
      <w:pPr>
        <w:spacing w:after="0" w:line="240" w:lineRule="auto"/>
        <w:jc w:val="both"/>
        <w:rPr>
          <w:rFonts w:ascii="Tahoma" w:eastAsia="Times New Roman" w:hAnsi="Tahoma" w:cs="Tahoma"/>
          <w:kern w:val="0"/>
          <w:sz w:val="22"/>
          <w:szCs w:val="22"/>
          <w:lang w:eastAsia="en-GB"/>
          <w14:ligatures w14:val="none"/>
        </w:rPr>
      </w:pPr>
    </w:p>
    <w:p w14:paraId="3B4C6D15" w14:textId="77777777" w:rsidR="00CC0371" w:rsidRPr="00CC0371" w:rsidRDefault="00CC0371"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What We Have Achieved</w:t>
      </w:r>
    </w:p>
    <w:p w14:paraId="7E0193AB" w14:textId="77777777"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Over the past strategic period, Gender Links has strengthened its communications systems and expanded its digital reach across the region.</w:t>
      </w:r>
    </w:p>
    <w:p w14:paraId="4C2A63C4" w14:textId="77777777" w:rsid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p>
    <w:p w14:paraId="1D8B0D8B" w14:textId="3A222D23"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Key achievements include:</w:t>
      </w:r>
    </w:p>
    <w:p w14:paraId="7A936216" w14:textId="40A793EF" w:rsidR="00CC0371" w:rsidRDefault="00CC0371" w:rsidP="00CC0371">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Significant growth in digital engagement</w:t>
      </w:r>
      <w:r w:rsidRPr="00CC0371">
        <w:rPr>
          <w:rFonts w:ascii="Tahoma" w:eastAsia="Times New Roman" w:hAnsi="Tahoma" w:cs="Tahoma"/>
          <w:color w:val="000000"/>
          <w:kern w:val="0"/>
          <w:sz w:val="22"/>
          <w:szCs w:val="22"/>
          <w:lang w:eastAsia="en-GB"/>
          <w14:ligatures w14:val="none"/>
        </w:rPr>
        <w:t>, with nearly 460,000 website visits between April 2024 and March 2025 across GL, WOSSO, and WVL platforms</w:t>
      </w:r>
      <w:r w:rsidR="003A26CB">
        <w:rPr>
          <w:rFonts w:ascii="Tahoma" w:eastAsia="Times New Roman" w:hAnsi="Tahoma" w:cs="Tahoma"/>
          <w:color w:val="000000"/>
          <w:kern w:val="0"/>
          <w:sz w:val="22"/>
          <w:szCs w:val="22"/>
          <w:lang w:eastAsia="en-GB"/>
          <w14:ligatures w14:val="none"/>
        </w:rPr>
        <w:t xml:space="preserve">, </w:t>
      </w:r>
      <w:r w:rsidRPr="00CC0371">
        <w:rPr>
          <w:rFonts w:ascii="Tahoma" w:eastAsia="Times New Roman" w:hAnsi="Tahoma" w:cs="Tahoma"/>
          <w:color w:val="000000"/>
          <w:kern w:val="0"/>
          <w:sz w:val="22"/>
          <w:szCs w:val="22"/>
          <w:lang w:eastAsia="en-GB"/>
          <w14:ligatures w14:val="none"/>
        </w:rPr>
        <w:t>an increase of more than 100,000 visits from the previous year.</w:t>
      </w:r>
    </w:p>
    <w:p w14:paraId="55EC033A" w14:textId="7EC218B9" w:rsidR="003A26CB" w:rsidRDefault="00293821" w:rsidP="003A26CB">
      <w:pPr>
        <w:spacing w:after="0" w:line="240" w:lineRule="auto"/>
        <w:ind w:left="720"/>
        <w:jc w:val="both"/>
        <w:rPr>
          <w:rFonts w:ascii="Tahoma" w:eastAsia="Times New Roman" w:hAnsi="Tahoma" w:cs="Tahoma"/>
          <w:color w:val="000000"/>
          <w:kern w:val="0"/>
          <w:sz w:val="22"/>
          <w:szCs w:val="22"/>
          <w:lang w:eastAsia="en-GB"/>
          <w14:ligatures w14:val="none"/>
        </w:rPr>
      </w:pPr>
      <w:r>
        <w:rPr>
          <w:noProof/>
          <w:lang w:eastAsia="en-ZA"/>
        </w:rPr>
        <w:lastRenderedPageBreak/>
        <w:drawing>
          <wp:inline distT="0" distB="0" distL="0" distR="0" wp14:anchorId="773B6139" wp14:editId="3C0DB6D4">
            <wp:extent cx="5099050" cy="2294255"/>
            <wp:effectExtent l="0" t="0" r="6350" b="0"/>
            <wp:docPr id="1" name="Chart 1">
              <a:extLst xmlns:a="http://schemas.openxmlformats.org/drawingml/2006/main">
                <a:ext uri="{FF2B5EF4-FFF2-40B4-BE49-F238E27FC236}">
                  <a16:creationId xmlns:a16="http://schemas.microsoft.com/office/drawing/2014/main" id="{F6678287-FEDF-4043-AE39-491E2126F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0F2806" w14:textId="77777777" w:rsidR="003A26CB" w:rsidRPr="00CC0371" w:rsidRDefault="003A26CB" w:rsidP="003A26CB">
      <w:pPr>
        <w:spacing w:after="0" w:line="240" w:lineRule="auto"/>
        <w:ind w:left="720"/>
        <w:jc w:val="both"/>
        <w:rPr>
          <w:rFonts w:ascii="Tahoma" w:eastAsia="Times New Roman" w:hAnsi="Tahoma" w:cs="Tahoma"/>
          <w:color w:val="000000"/>
          <w:kern w:val="0"/>
          <w:sz w:val="22"/>
          <w:szCs w:val="22"/>
          <w:lang w:eastAsia="en-GB"/>
          <w14:ligatures w14:val="none"/>
        </w:rPr>
      </w:pPr>
    </w:p>
    <w:p w14:paraId="0326E8F9" w14:textId="77777777" w:rsidR="00CC0371" w:rsidRPr="00CC0371" w:rsidRDefault="00CC0371" w:rsidP="00CC0371">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Expansion of GL’s online footprint</w:t>
      </w:r>
      <w:r w:rsidRPr="00CC0371">
        <w:rPr>
          <w:rFonts w:ascii="Tahoma" w:eastAsia="Times New Roman" w:hAnsi="Tahoma" w:cs="Tahoma"/>
          <w:color w:val="000000"/>
          <w:kern w:val="0"/>
          <w:sz w:val="22"/>
          <w:szCs w:val="22"/>
          <w:lang w:eastAsia="en-GB"/>
          <w14:ligatures w14:val="none"/>
        </w:rPr>
        <w:t xml:space="preserve"> through social media platforms, newsletters, and digital content sharing.</w:t>
      </w:r>
    </w:p>
    <w:p w14:paraId="06C4390E" w14:textId="77777777" w:rsidR="00CC0371" w:rsidRPr="00CC0371" w:rsidRDefault="00CC0371" w:rsidP="00CC0371">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Consistent dissemination</w:t>
      </w:r>
      <w:r w:rsidRPr="00CC0371">
        <w:rPr>
          <w:rFonts w:ascii="Tahoma" w:eastAsia="Times New Roman" w:hAnsi="Tahoma" w:cs="Tahoma"/>
          <w:color w:val="000000"/>
          <w:kern w:val="0"/>
          <w:sz w:val="22"/>
          <w:szCs w:val="22"/>
          <w:lang w:eastAsia="en-GB"/>
          <w14:ligatures w14:val="none"/>
        </w:rPr>
        <w:t xml:space="preserve"> of blogs, stories, newsletters, and articles through the What’s New pages on GL websites and across social media and email distribution lists.</w:t>
      </w:r>
    </w:p>
    <w:p w14:paraId="30CD8217" w14:textId="77777777" w:rsidR="00CC0371" w:rsidRPr="00CC0371" w:rsidRDefault="00CC0371" w:rsidP="00CC0371">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Increased visibility of GL campaigns and advocacy initiatives</w:t>
      </w:r>
      <w:r w:rsidRPr="00CC0371">
        <w:rPr>
          <w:rFonts w:ascii="Tahoma" w:eastAsia="Times New Roman" w:hAnsi="Tahoma" w:cs="Tahoma"/>
          <w:color w:val="000000"/>
          <w:kern w:val="0"/>
          <w:sz w:val="22"/>
          <w:szCs w:val="22"/>
          <w:lang w:eastAsia="en-GB"/>
          <w14:ligatures w14:val="none"/>
        </w:rPr>
        <w:t>, particularly during regional advocacy moments such as the 16 Days of Activism against Gender-Based Violence.</w:t>
      </w:r>
    </w:p>
    <w:p w14:paraId="57047912" w14:textId="550A36FB" w:rsidR="00CC0371" w:rsidRPr="00CC0371" w:rsidRDefault="00CC0371" w:rsidP="00CC0371">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Development of powerful storytelling approaches</w:t>
      </w:r>
      <w:r w:rsidRPr="00CC0371">
        <w:rPr>
          <w:rFonts w:ascii="Tahoma" w:eastAsia="Times New Roman" w:hAnsi="Tahoma" w:cs="Tahoma"/>
          <w:color w:val="000000"/>
          <w:kern w:val="0"/>
          <w:sz w:val="22"/>
          <w:szCs w:val="22"/>
          <w:lang w:eastAsia="en-GB"/>
          <w14:ligatures w14:val="none"/>
        </w:rPr>
        <w:t xml:space="preserve">, including I Stories, entrepreneurship testimonials, and governance case studies, which humanise data and highlight </w:t>
      </w:r>
      <w:r w:rsidR="004205D4">
        <w:rPr>
          <w:rFonts w:ascii="Tahoma" w:eastAsia="Times New Roman" w:hAnsi="Tahoma" w:cs="Tahoma"/>
          <w:color w:val="000000"/>
          <w:kern w:val="0"/>
          <w:sz w:val="22"/>
          <w:szCs w:val="22"/>
          <w:lang w:eastAsia="en-GB"/>
          <w14:ligatures w14:val="none"/>
        </w:rPr>
        <w:t xml:space="preserve">the </w:t>
      </w:r>
      <w:r w:rsidRPr="00CC0371">
        <w:rPr>
          <w:rFonts w:ascii="Tahoma" w:eastAsia="Times New Roman" w:hAnsi="Tahoma" w:cs="Tahoma"/>
          <w:color w:val="000000"/>
          <w:kern w:val="0"/>
          <w:sz w:val="22"/>
          <w:szCs w:val="22"/>
          <w:lang w:eastAsia="en-GB"/>
          <w14:ligatures w14:val="none"/>
        </w:rPr>
        <w:t>lived experiences of change.</w:t>
      </w:r>
    </w:p>
    <w:p w14:paraId="61A5987E" w14:textId="03EC0DAF" w:rsidR="00CC0371" w:rsidRPr="00CC0371" w:rsidRDefault="00CC0371" w:rsidP="00CC0371">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Production of evidence-based communication materials</w:t>
      </w:r>
      <w:r w:rsidRPr="00CC0371">
        <w:rPr>
          <w:rFonts w:ascii="Tahoma" w:eastAsia="Times New Roman" w:hAnsi="Tahoma" w:cs="Tahoma"/>
          <w:color w:val="000000"/>
          <w:kern w:val="0"/>
          <w:sz w:val="22"/>
          <w:szCs w:val="22"/>
          <w:lang w:eastAsia="en-GB"/>
          <w14:ligatures w14:val="none"/>
        </w:rPr>
        <w:t> using data from research</w:t>
      </w:r>
      <w:r w:rsidR="004205D4">
        <w:rPr>
          <w:rFonts w:ascii="Tahoma" w:eastAsia="Times New Roman" w:hAnsi="Tahoma" w:cs="Tahoma"/>
          <w:color w:val="000000"/>
          <w:kern w:val="0"/>
          <w:sz w:val="22"/>
          <w:szCs w:val="22"/>
          <w:lang w:eastAsia="en-GB"/>
          <w14:ligatures w14:val="none"/>
        </w:rPr>
        <w:t>,</w:t>
      </w:r>
      <w:r w:rsidRPr="00CC0371">
        <w:rPr>
          <w:rFonts w:ascii="Tahoma" w:eastAsia="Times New Roman" w:hAnsi="Tahoma" w:cs="Tahoma"/>
          <w:color w:val="000000"/>
          <w:kern w:val="0"/>
          <w:sz w:val="22"/>
          <w:szCs w:val="22"/>
          <w:lang w:eastAsia="en-GB"/>
          <w14:ligatures w14:val="none"/>
        </w:rPr>
        <w:t xml:space="preserve"> such as gender attitudes surveys and governance scorecards.</w:t>
      </w:r>
    </w:p>
    <w:p w14:paraId="5301778D" w14:textId="4EDD8464" w:rsidR="003A26CB" w:rsidRPr="00CC0371" w:rsidRDefault="00CC0371" w:rsidP="003A26CB">
      <w:pPr>
        <w:numPr>
          <w:ilvl w:val="0"/>
          <w:numId w:val="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Growing investment in interactive research dissemination</w:t>
      </w:r>
      <w:r w:rsidRPr="00CC0371">
        <w:rPr>
          <w:rFonts w:ascii="Tahoma" w:eastAsia="Times New Roman" w:hAnsi="Tahoma" w:cs="Tahoma"/>
          <w:color w:val="000000"/>
          <w:kern w:val="0"/>
          <w:sz w:val="22"/>
          <w:szCs w:val="22"/>
          <w:lang w:eastAsia="en-GB"/>
          <w14:ligatures w14:val="none"/>
        </w:rPr>
        <w:t>, including multimedia reports and data visualisation.</w:t>
      </w:r>
    </w:p>
    <w:p w14:paraId="34D3BDB9" w14:textId="77777777" w:rsid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p>
    <w:p w14:paraId="0186CA3E" w14:textId="10F57D47"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These efforts have strengthened Gender Links’ reputation as both an advocacy organisation and a credible source of gender equality knowledge in Southern Africa.</w:t>
      </w:r>
    </w:p>
    <w:p w14:paraId="2B0965FF" w14:textId="1B93D23F" w:rsidR="00CC0371" w:rsidRPr="00CC0371" w:rsidRDefault="00CC0371" w:rsidP="00CC0371">
      <w:pPr>
        <w:spacing w:after="0" w:line="240" w:lineRule="auto"/>
        <w:jc w:val="both"/>
        <w:rPr>
          <w:rFonts w:ascii="Tahoma" w:eastAsia="Times New Roman" w:hAnsi="Tahoma" w:cs="Tahoma"/>
          <w:kern w:val="0"/>
          <w:sz w:val="22"/>
          <w:szCs w:val="22"/>
          <w:lang w:eastAsia="en-GB"/>
          <w14:ligatures w14:val="none"/>
        </w:rPr>
      </w:pPr>
    </w:p>
    <w:p w14:paraId="229AA754" w14:textId="77777777" w:rsidR="00CC0371" w:rsidRPr="00CC0371" w:rsidRDefault="00CC0371"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What We Have Learned</w:t>
      </w:r>
    </w:p>
    <w:p w14:paraId="22120FA1" w14:textId="77777777"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Experience over the past strategic period has generated several important lessons that will shape the next phase of the communications strategy:</w:t>
      </w:r>
    </w:p>
    <w:p w14:paraId="29EE67F9" w14:textId="77777777" w:rsidR="00CC0371" w:rsidRPr="00CC0371" w:rsidRDefault="00CC0371" w:rsidP="00CC0371">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Digital platforms are essential for influence.</w:t>
      </w:r>
      <w:r w:rsidRPr="00CC0371">
        <w:rPr>
          <w:rFonts w:ascii="Tahoma" w:eastAsia="Times New Roman" w:hAnsi="Tahoma" w:cs="Tahoma"/>
          <w:color w:val="000000"/>
          <w:kern w:val="0"/>
          <w:sz w:val="22"/>
          <w:szCs w:val="22"/>
          <w:lang w:eastAsia="en-GB"/>
          <w14:ligatures w14:val="none"/>
        </w:rPr>
        <w:t> Social media, online campaigns, and multimedia storytelling are increasingly central to reaching diverse audiences and shaping public discourse.</w:t>
      </w:r>
    </w:p>
    <w:p w14:paraId="3A177A6F" w14:textId="77777777" w:rsidR="00CC0371" w:rsidRPr="00CC0371" w:rsidRDefault="00CC0371" w:rsidP="00CC0371">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Audiences respond to solutions and progress.</w:t>
      </w:r>
      <w:r w:rsidRPr="00CC0371">
        <w:rPr>
          <w:rFonts w:ascii="Tahoma" w:eastAsia="Times New Roman" w:hAnsi="Tahoma" w:cs="Tahoma"/>
          <w:color w:val="000000"/>
          <w:kern w:val="0"/>
          <w:sz w:val="22"/>
          <w:szCs w:val="22"/>
          <w:lang w:eastAsia="en-GB"/>
          <w14:ligatures w14:val="none"/>
        </w:rPr>
        <w:t> Content that highlights resilience, innovation, and practical change resonates more strongly than messages focused solely on challenges.</w:t>
      </w:r>
    </w:p>
    <w:p w14:paraId="31C0D4A5" w14:textId="77777777" w:rsidR="00CC0371" w:rsidRPr="00CC0371" w:rsidRDefault="00CC0371" w:rsidP="00CC0371">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Data and storytelling must work together.</w:t>
      </w:r>
      <w:r w:rsidRPr="00CC0371">
        <w:rPr>
          <w:rFonts w:ascii="Tahoma" w:eastAsia="Times New Roman" w:hAnsi="Tahoma" w:cs="Tahoma"/>
          <w:color w:val="000000"/>
          <w:kern w:val="0"/>
          <w:sz w:val="22"/>
          <w:szCs w:val="22"/>
          <w:lang w:eastAsia="en-GB"/>
          <w14:ligatures w14:val="none"/>
        </w:rPr>
        <w:t> Evidence gains traction when paired with human stories, and personal narratives become more powerful when supported by credible research.</w:t>
      </w:r>
    </w:p>
    <w:p w14:paraId="4DAA97C8" w14:textId="77777777" w:rsidR="00CC0371" w:rsidRPr="00CC0371" w:rsidRDefault="00CC0371" w:rsidP="00CC0371">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Internal coordination is critical.</w:t>
      </w:r>
      <w:r w:rsidRPr="00CC0371">
        <w:rPr>
          <w:rFonts w:ascii="Tahoma" w:eastAsia="Times New Roman" w:hAnsi="Tahoma" w:cs="Tahoma"/>
          <w:color w:val="000000"/>
          <w:kern w:val="0"/>
          <w:sz w:val="22"/>
          <w:szCs w:val="22"/>
          <w:lang w:eastAsia="en-GB"/>
          <w14:ligatures w14:val="none"/>
        </w:rPr>
        <w:t> Strong communication requires close collaboration between programme teams, monitoring and evaluation systems, and communication specialists to ensure consistent messaging and timely content.</w:t>
      </w:r>
    </w:p>
    <w:p w14:paraId="248DA555" w14:textId="77777777" w:rsidR="00CC0371" w:rsidRPr="00CC0371" w:rsidRDefault="00CC0371" w:rsidP="00CC0371">
      <w:pPr>
        <w:numPr>
          <w:ilvl w:val="0"/>
          <w:numId w:val="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Digital engagement must remain inclusive.</w:t>
      </w:r>
      <w:r w:rsidRPr="00CC0371">
        <w:rPr>
          <w:rFonts w:ascii="Tahoma" w:eastAsia="Times New Roman" w:hAnsi="Tahoma" w:cs="Tahoma"/>
          <w:color w:val="000000"/>
          <w:kern w:val="0"/>
          <w:sz w:val="22"/>
          <w:szCs w:val="22"/>
          <w:lang w:eastAsia="en-GB"/>
          <w14:ligatures w14:val="none"/>
        </w:rPr>
        <w:t> While online platforms are powerful tools, communication strategies must also reach communities with limited digital access.</w:t>
      </w:r>
    </w:p>
    <w:p w14:paraId="690C60E7" w14:textId="03DE6945" w:rsidR="00CC0371" w:rsidRPr="00CC0371" w:rsidRDefault="00CC0371" w:rsidP="00CC0371">
      <w:pPr>
        <w:spacing w:after="0" w:line="240" w:lineRule="auto"/>
        <w:jc w:val="both"/>
        <w:rPr>
          <w:rFonts w:ascii="Tahoma" w:eastAsia="Times New Roman" w:hAnsi="Tahoma" w:cs="Tahoma"/>
          <w:kern w:val="0"/>
          <w:sz w:val="22"/>
          <w:szCs w:val="22"/>
          <w:lang w:eastAsia="en-GB"/>
          <w14:ligatures w14:val="none"/>
        </w:rPr>
      </w:pPr>
    </w:p>
    <w:p w14:paraId="1AEE7282" w14:textId="77777777" w:rsidR="00CC0371" w:rsidRPr="00CC0371" w:rsidRDefault="00CC0371"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What We Will Do (2026–2030)</w:t>
      </w:r>
    </w:p>
    <w:p w14:paraId="48ABB0FB" w14:textId="77777777"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During the 2026–2030 strategic period, Gender Links will implement an integrated, digital, and people-centred communication strategy that strengthens influence, expands reach, and supports advocacy outcomes.</w:t>
      </w:r>
    </w:p>
    <w:p w14:paraId="70362F48"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7DB15928" w14:textId="067922BC"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Strengthening the GL Brand and Voice</w:t>
      </w:r>
    </w:p>
    <w:p w14:paraId="17B65AC8" w14:textId="77777777" w:rsidR="00CC0371" w:rsidRPr="00CC0371" w:rsidRDefault="00CC0371" w:rsidP="00CC0371">
      <w:pPr>
        <w:numPr>
          <w:ilvl w:val="0"/>
          <w:numId w:val="4"/>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Refresh and standardise the Gender Links brand across all country offices.</w:t>
      </w:r>
    </w:p>
    <w:p w14:paraId="49C558E3" w14:textId="77777777" w:rsidR="00CC0371" w:rsidRPr="00CC0371" w:rsidRDefault="00CC0371" w:rsidP="00CC0371">
      <w:pPr>
        <w:numPr>
          <w:ilvl w:val="0"/>
          <w:numId w:val="4"/>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Position GL as a regional authority on gender-responsive governance, media reform, and economic justice.</w:t>
      </w:r>
    </w:p>
    <w:p w14:paraId="32EFD914" w14:textId="77777777" w:rsidR="00CC0371" w:rsidRPr="00CC0371" w:rsidRDefault="00CC0371" w:rsidP="00CC0371">
      <w:pPr>
        <w:numPr>
          <w:ilvl w:val="0"/>
          <w:numId w:val="4"/>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Develop unified messaging frameworks to ensure consistency across programmes and countries.</w:t>
      </w:r>
    </w:p>
    <w:p w14:paraId="23472EA5"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36679B39" w14:textId="69C0C4B4"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Accelerating Digital Transformation</w:t>
      </w:r>
    </w:p>
    <w:p w14:paraId="3FBAB412" w14:textId="77777777" w:rsidR="00CC0371" w:rsidRPr="00CC0371" w:rsidRDefault="00CC0371" w:rsidP="00CC0371">
      <w:pPr>
        <w:numPr>
          <w:ilvl w:val="0"/>
          <w:numId w:val="5"/>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Expand multimedia communication through videos, podcasts, infographics, and interactive dashboards.</w:t>
      </w:r>
    </w:p>
    <w:p w14:paraId="789AF29F" w14:textId="77777777" w:rsidR="00CC0371" w:rsidRPr="00CC0371" w:rsidRDefault="00CC0371" w:rsidP="00CC0371">
      <w:pPr>
        <w:numPr>
          <w:ilvl w:val="0"/>
          <w:numId w:val="5"/>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Strengthen GL’s presence on emerging digital platforms, particularly those used by youth and grassroots communities.</w:t>
      </w:r>
    </w:p>
    <w:p w14:paraId="6B5AC707" w14:textId="77777777" w:rsidR="00CC0371" w:rsidRPr="00CC0371" w:rsidRDefault="00CC0371" w:rsidP="00CC0371">
      <w:pPr>
        <w:numPr>
          <w:ilvl w:val="0"/>
          <w:numId w:val="5"/>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Launch a new user-friendly and innovative website to enhance accessibility and engagement.</w:t>
      </w:r>
    </w:p>
    <w:p w14:paraId="19A25BB1"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14924EC2" w14:textId="7CD53014"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Community-Centred Storytelling</w:t>
      </w:r>
    </w:p>
    <w:p w14:paraId="4BE41BA7" w14:textId="77777777" w:rsidR="00CC0371" w:rsidRPr="00CC0371" w:rsidRDefault="00CC0371" w:rsidP="00CC0371">
      <w:pPr>
        <w:numPr>
          <w:ilvl w:val="0"/>
          <w:numId w:val="6"/>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Scale up storytelling initiatives such as I Stories and entrepreneurship success stories.</w:t>
      </w:r>
    </w:p>
    <w:p w14:paraId="0905B1D5" w14:textId="77777777" w:rsidR="00CC0371" w:rsidRPr="00CC0371" w:rsidRDefault="00CC0371" w:rsidP="00CC0371">
      <w:pPr>
        <w:numPr>
          <w:ilvl w:val="0"/>
          <w:numId w:val="6"/>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Build a storytelling network of alumni, fellows, champions, and programme beneficiaries who can share their experiences.</w:t>
      </w:r>
    </w:p>
    <w:p w14:paraId="2C9756D4"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3A83FBE4" w14:textId="04A4427D"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Evidence for Influence</w:t>
      </w:r>
    </w:p>
    <w:p w14:paraId="7463268D" w14:textId="77777777" w:rsidR="00CC0371" w:rsidRPr="00CC0371" w:rsidRDefault="00CC0371" w:rsidP="00CC0371">
      <w:pPr>
        <w:numPr>
          <w:ilvl w:val="0"/>
          <w:numId w:val="7"/>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Translate research findings into accessible formats such as policy briefs, fact sheets, animations, and data visualisations.</w:t>
      </w:r>
    </w:p>
    <w:p w14:paraId="1ACAEF6D" w14:textId="77777777" w:rsidR="00CC0371" w:rsidRPr="00CC0371" w:rsidRDefault="00CC0371" w:rsidP="00CC0371">
      <w:pPr>
        <w:numPr>
          <w:ilvl w:val="0"/>
          <w:numId w:val="7"/>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Ensure research outputs support advocacy campaigns and policy engagement at national and regional levels.</w:t>
      </w:r>
    </w:p>
    <w:p w14:paraId="0138CE75"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764FFA57" w14:textId="44EADD4E"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Strengthening Media Partnerships</w:t>
      </w:r>
    </w:p>
    <w:p w14:paraId="7543E253" w14:textId="77777777" w:rsidR="00CC0371" w:rsidRPr="00CC0371" w:rsidRDefault="00CC0371" w:rsidP="00CC0371">
      <w:pPr>
        <w:numPr>
          <w:ilvl w:val="0"/>
          <w:numId w:val="8"/>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Develop content partnerships with media houses, journalists, and digital creators.</w:t>
      </w:r>
    </w:p>
    <w:p w14:paraId="484E7A9F" w14:textId="77777777" w:rsidR="00CC0371" w:rsidRPr="00CC0371" w:rsidRDefault="00CC0371" w:rsidP="00CC0371">
      <w:pPr>
        <w:numPr>
          <w:ilvl w:val="0"/>
          <w:numId w:val="8"/>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Increase media engagement to ensure GL research and campaigns inform public discourse and policy debates.</w:t>
      </w:r>
    </w:p>
    <w:p w14:paraId="0B998519"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05C2F1F8" w14:textId="7B551F2A"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Strengthening Internal Communication and Capacity</w:t>
      </w:r>
    </w:p>
    <w:p w14:paraId="22C96028" w14:textId="77777777" w:rsidR="00CC0371" w:rsidRPr="00CC0371" w:rsidRDefault="00CC0371" w:rsidP="00CC0371">
      <w:pPr>
        <w:numPr>
          <w:ilvl w:val="0"/>
          <w:numId w:val="9"/>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Develop a comprehensive communication toolkit for staff, partners, and grantees.</w:t>
      </w:r>
    </w:p>
    <w:p w14:paraId="227AA6B0" w14:textId="77777777" w:rsidR="00CC0371" w:rsidRPr="00CC0371" w:rsidRDefault="00CC0371" w:rsidP="00CC0371">
      <w:pPr>
        <w:numPr>
          <w:ilvl w:val="0"/>
          <w:numId w:val="9"/>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Provide training on media engagement, digital storytelling, and brand consistency.</w:t>
      </w:r>
    </w:p>
    <w:p w14:paraId="565984B4" w14:textId="77777777" w:rsidR="00CC0371" w:rsidRPr="00CC0371" w:rsidRDefault="00CC0371" w:rsidP="00CC0371">
      <w:pPr>
        <w:numPr>
          <w:ilvl w:val="0"/>
          <w:numId w:val="9"/>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Establish clear internal workflows that integrate communication planning into programme implementation.</w:t>
      </w:r>
    </w:p>
    <w:p w14:paraId="1B040271"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4344D444" w14:textId="71C483DF"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Communicating Results</w:t>
      </w:r>
    </w:p>
    <w:p w14:paraId="42901D9A" w14:textId="77777777"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As part of the Results for Change framework, Gender Links will ensure that research findings and programme outcomes are widely shared through accessible platforms. Communication channels will include:</w:t>
      </w:r>
    </w:p>
    <w:p w14:paraId="2DCC822D" w14:textId="77777777" w:rsidR="00CC0371" w:rsidRPr="00CC0371" w:rsidRDefault="00CC0371" w:rsidP="00CC0371">
      <w:pPr>
        <w:numPr>
          <w:ilvl w:val="0"/>
          <w:numId w:val="10"/>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Interactive research reports and data visualisation platforms.</w:t>
      </w:r>
    </w:p>
    <w:p w14:paraId="19AABB09" w14:textId="77777777" w:rsidR="00CC0371" w:rsidRPr="00CC0371" w:rsidRDefault="00CC0371" w:rsidP="00CC0371">
      <w:pPr>
        <w:numPr>
          <w:ilvl w:val="0"/>
          <w:numId w:val="10"/>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Social media campaigns and digital storytelling initiatives.</w:t>
      </w:r>
    </w:p>
    <w:p w14:paraId="45D61512" w14:textId="77777777" w:rsidR="00CC0371" w:rsidRPr="00CC0371" w:rsidRDefault="00CC0371" w:rsidP="00CC0371">
      <w:pPr>
        <w:numPr>
          <w:ilvl w:val="0"/>
          <w:numId w:val="10"/>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Website publications and newsletters.</w:t>
      </w:r>
    </w:p>
    <w:p w14:paraId="62CF190D" w14:textId="77777777" w:rsid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p>
    <w:p w14:paraId="4D2C07E2" w14:textId="7342C010"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lastRenderedPageBreak/>
        <w:t>Clear reporting and communication plans will define reporting frequency, target audiences, content formats, and mechanisms for stakeholder feedback.</w:t>
      </w:r>
    </w:p>
    <w:p w14:paraId="2D3742DE" w14:textId="36616307" w:rsidR="00CC0371" w:rsidRPr="00CC0371" w:rsidRDefault="00CC0371" w:rsidP="00CC0371">
      <w:pPr>
        <w:spacing w:after="0" w:line="240" w:lineRule="auto"/>
        <w:jc w:val="both"/>
        <w:rPr>
          <w:rFonts w:ascii="Tahoma" w:eastAsia="Times New Roman" w:hAnsi="Tahoma" w:cs="Tahoma"/>
          <w:kern w:val="0"/>
          <w:sz w:val="22"/>
          <w:szCs w:val="22"/>
          <w:lang w:eastAsia="en-GB"/>
          <w14:ligatures w14:val="none"/>
        </w:rPr>
      </w:pPr>
    </w:p>
    <w:p w14:paraId="3C0D095A" w14:textId="77777777" w:rsidR="00CC0371" w:rsidRPr="00CC0371" w:rsidRDefault="00CC0371" w:rsidP="00CC0371">
      <w:pPr>
        <w:spacing w:after="0" w:line="240" w:lineRule="auto"/>
        <w:jc w:val="both"/>
        <w:outlineLvl w:val="1"/>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How We Will Measure Change</w:t>
      </w:r>
    </w:p>
    <w:p w14:paraId="5B2C9F34" w14:textId="77777777" w:rsidR="00CC0371" w:rsidRPr="00CC0371" w:rsidRDefault="00CC0371" w:rsidP="00CC0371">
      <w:p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Progress will be measured through a set of communication indicators across several dimensions:</w:t>
      </w:r>
    </w:p>
    <w:p w14:paraId="7494CD60"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59E4821A" w14:textId="5120DB95"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Visibility and Reach</w:t>
      </w:r>
    </w:p>
    <w:p w14:paraId="2E601516" w14:textId="77777777" w:rsidR="00CC0371" w:rsidRPr="00CC0371" w:rsidRDefault="00CC0371" w:rsidP="00CC0371">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Growth in website traffic and audience engagement.</w:t>
      </w:r>
    </w:p>
    <w:p w14:paraId="3715A736" w14:textId="77777777" w:rsidR="00CC0371" w:rsidRPr="00CC0371" w:rsidRDefault="00CC0371" w:rsidP="00CC0371">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Increased social media followers and interaction rates (shares, comments, and likes).</w:t>
      </w:r>
    </w:p>
    <w:p w14:paraId="54BCA1A0" w14:textId="77777777" w:rsidR="00CC0371" w:rsidRPr="00CC0371" w:rsidRDefault="00CC0371" w:rsidP="00CC0371">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Growth in newsletter subscriptions and digital platform engagement.</w:t>
      </w:r>
    </w:p>
    <w:p w14:paraId="63915D40" w14:textId="77777777" w:rsidR="00CC0371" w:rsidRDefault="00CC0371" w:rsidP="00CC0371">
      <w:pPr>
        <w:numPr>
          <w:ilvl w:val="0"/>
          <w:numId w:val="11"/>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Increase in regional and national media mentions of Gender Links.</w:t>
      </w:r>
    </w:p>
    <w:p w14:paraId="23622BD0" w14:textId="77777777" w:rsidR="00CC0371" w:rsidRPr="00CC0371" w:rsidRDefault="00CC0371" w:rsidP="00CC0371">
      <w:pPr>
        <w:spacing w:after="0" w:line="240" w:lineRule="auto"/>
        <w:ind w:left="720"/>
        <w:jc w:val="both"/>
        <w:rPr>
          <w:rFonts w:ascii="Tahoma" w:eastAsia="Times New Roman" w:hAnsi="Tahoma" w:cs="Tahoma"/>
          <w:color w:val="000000"/>
          <w:kern w:val="0"/>
          <w:sz w:val="22"/>
          <w:szCs w:val="22"/>
          <w:lang w:eastAsia="en-GB"/>
          <w14:ligatures w14:val="none"/>
        </w:rPr>
      </w:pPr>
    </w:p>
    <w:tbl>
      <w:tblPr>
        <w:tblStyle w:val="TableGrid"/>
        <w:tblW w:w="0" w:type="auto"/>
        <w:jc w:val="center"/>
        <w:tblLook w:val="04A0" w:firstRow="1" w:lastRow="0" w:firstColumn="1" w:lastColumn="0" w:noHBand="0" w:noVBand="1"/>
      </w:tblPr>
      <w:tblGrid>
        <w:gridCol w:w="2144"/>
        <w:gridCol w:w="1004"/>
        <w:gridCol w:w="1004"/>
        <w:gridCol w:w="1904"/>
      </w:tblGrid>
      <w:tr w:rsidR="00CC0371" w:rsidRPr="00CC0371" w14:paraId="62BE2A54" w14:textId="77777777" w:rsidTr="004D1BCF">
        <w:trPr>
          <w:jc w:val="center"/>
        </w:trPr>
        <w:tc>
          <w:tcPr>
            <w:tcW w:w="0" w:type="auto"/>
            <w:shd w:val="clear" w:color="auto" w:fill="D9D9D9" w:themeFill="background1" w:themeFillShade="D9"/>
            <w:hideMark/>
          </w:tcPr>
          <w:p w14:paraId="5AB35031" w14:textId="77777777" w:rsidR="00CC0371" w:rsidRPr="00CC0371" w:rsidRDefault="00CC0371" w:rsidP="00CC0371">
            <w:pPr>
              <w:jc w:val="both"/>
              <w:rPr>
                <w:rFonts w:ascii="Tahoma" w:eastAsia="Times New Roman" w:hAnsi="Tahoma" w:cs="Tahoma"/>
                <w:b/>
                <w:bCs/>
                <w:kern w:val="0"/>
                <w:sz w:val="22"/>
                <w:szCs w:val="22"/>
                <w:lang w:eastAsia="en-GB"/>
                <w14:ligatures w14:val="none"/>
              </w:rPr>
            </w:pPr>
            <w:r w:rsidRPr="00CC0371">
              <w:rPr>
                <w:rFonts w:ascii="Tahoma" w:eastAsia="Times New Roman" w:hAnsi="Tahoma" w:cs="Tahoma"/>
                <w:b/>
                <w:bCs/>
                <w:kern w:val="0"/>
                <w:sz w:val="22"/>
                <w:szCs w:val="22"/>
                <w:lang w:eastAsia="en-GB"/>
                <w14:ligatures w14:val="none"/>
              </w:rPr>
              <w:t>Indicator</w:t>
            </w:r>
          </w:p>
        </w:tc>
        <w:tc>
          <w:tcPr>
            <w:tcW w:w="0" w:type="auto"/>
            <w:shd w:val="clear" w:color="auto" w:fill="D9D9D9" w:themeFill="background1" w:themeFillShade="D9"/>
            <w:hideMark/>
          </w:tcPr>
          <w:p w14:paraId="2C184FE1" w14:textId="77777777" w:rsidR="00CC0371" w:rsidRPr="00CC0371" w:rsidRDefault="00CC0371" w:rsidP="00CC0371">
            <w:pPr>
              <w:jc w:val="both"/>
              <w:rPr>
                <w:rFonts w:ascii="Tahoma" w:eastAsia="Times New Roman" w:hAnsi="Tahoma" w:cs="Tahoma"/>
                <w:b/>
                <w:bCs/>
                <w:kern w:val="0"/>
                <w:sz w:val="22"/>
                <w:szCs w:val="22"/>
                <w:lang w:eastAsia="en-GB"/>
                <w14:ligatures w14:val="none"/>
              </w:rPr>
            </w:pPr>
            <w:r w:rsidRPr="00CC0371">
              <w:rPr>
                <w:rFonts w:ascii="Tahoma" w:eastAsia="Times New Roman" w:hAnsi="Tahoma" w:cs="Tahoma"/>
                <w:b/>
                <w:bCs/>
                <w:kern w:val="0"/>
                <w:sz w:val="22"/>
                <w:szCs w:val="22"/>
                <w:lang w:eastAsia="en-GB"/>
                <w14:ligatures w14:val="none"/>
              </w:rPr>
              <w:t>2020</w:t>
            </w:r>
          </w:p>
        </w:tc>
        <w:tc>
          <w:tcPr>
            <w:tcW w:w="0" w:type="auto"/>
            <w:shd w:val="clear" w:color="auto" w:fill="D9D9D9" w:themeFill="background1" w:themeFillShade="D9"/>
            <w:hideMark/>
          </w:tcPr>
          <w:p w14:paraId="3BBD29AE" w14:textId="77777777" w:rsidR="00CC0371" w:rsidRPr="00CC0371" w:rsidRDefault="00CC0371" w:rsidP="00CC0371">
            <w:pPr>
              <w:jc w:val="both"/>
              <w:rPr>
                <w:rFonts w:ascii="Tahoma" w:eastAsia="Times New Roman" w:hAnsi="Tahoma" w:cs="Tahoma"/>
                <w:b/>
                <w:bCs/>
                <w:kern w:val="0"/>
                <w:sz w:val="22"/>
                <w:szCs w:val="22"/>
                <w:lang w:eastAsia="en-GB"/>
                <w14:ligatures w14:val="none"/>
              </w:rPr>
            </w:pPr>
            <w:r w:rsidRPr="00CC0371">
              <w:rPr>
                <w:rFonts w:ascii="Tahoma" w:eastAsia="Times New Roman" w:hAnsi="Tahoma" w:cs="Tahoma"/>
                <w:b/>
                <w:bCs/>
                <w:kern w:val="0"/>
                <w:sz w:val="22"/>
                <w:szCs w:val="22"/>
                <w:lang w:eastAsia="en-GB"/>
                <w14:ligatures w14:val="none"/>
              </w:rPr>
              <w:t>2025</w:t>
            </w:r>
          </w:p>
        </w:tc>
        <w:tc>
          <w:tcPr>
            <w:tcW w:w="0" w:type="auto"/>
            <w:shd w:val="clear" w:color="auto" w:fill="D9D9D9" w:themeFill="background1" w:themeFillShade="D9"/>
            <w:hideMark/>
          </w:tcPr>
          <w:p w14:paraId="62F4C1DD" w14:textId="77777777" w:rsidR="00CC0371" w:rsidRPr="00CC0371" w:rsidRDefault="00CC0371" w:rsidP="00CC0371">
            <w:pPr>
              <w:jc w:val="both"/>
              <w:rPr>
                <w:rFonts w:ascii="Tahoma" w:eastAsia="Times New Roman" w:hAnsi="Tahoma" w:cs="Tahoma"/>
                <w:b/>
                <w:bCs/>
                <w:kern w:val="0"/>
                <w:sz w:val="22"/>
                <w:szCs w:val="22"/>
                <w:lang w:eastAsia="en-GB"/>
                <w14:ligatures w14:val="none"/>
              </w:rPr>
            </w:pPr>
            <w:r w:rsidRPr="00CC0371">
              <w:rPr>
                <w:rFonts w:ascii="Tahoma" w:eastAsia="Times New Roman" w:hAnsi="Tahoma" w:cs="Tahoma"/>
                <w:b/>
                <w:bCs/>
                <w:kern w:val="0"/>
                <w:sz w:val="22"/>
                <w:szCs w:val="22"/>
                <w:lang w:eastAsia="en-GB"/>
                <w14:ligatures w14:val="none"/>
              </w:rPr>
              <w:t>Projected 2030</w:t>
            </w:r>
          </w:p>
        </w:tc>
      </w:tr>
      <w:tr w:rsidR="00CC0371" w:rsidRPr="00CC0371" w14:paraId="63A7DA05" w14:textId="77777777" w:rsidTr="00CC0371">
        <w:trPr>
          <w:jc w:val="center"/>
        </w:trPr>
        <w:tc>
          <w:tcPr>
            <w:tcW w:w="0" w:type="auto"/>
            <w:hideMark/>
          </w:tcPr>
          <w:p w14:paraId="346AB9B3"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Website hits</w:t>
            </w:r>
          </w:p>
        </w:tc>
        <w:tc>
          <w:tcPr>
            <w:tcW w:w="0" w:type="auto"/>
            <w:hideMark/>
          </w:tcPr>
          <w:p w14:paraId="7D62D20E"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369,194</w:t>
            </w:r>
          </w:p>
        </w:tc>
        <w:tc>
          <w:tcPr>
            <w:tcW w:w="0" w:type="auto"/>
            <w:hideMark/>
          </w:tcPr>
          <w:p w14:paraId="53214E9B"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456,724</w:t>
            </w:r>
          </w:p>
        </w:tc>
        <w:tc>
          <w:tcPr>
            <w:tcW w:w="0" w:type="auto"/>
            <w:hideMark/>
          </w:tcPr>
          <w:p w14:paraId="3FD18353"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589,741</w:t>
            </w:r>
          </w:p>
        </w:tc>
      </w:tr>
      <w:tr w:rsidR="00CC0371" w:rsidRPr="00CC0371" w14:paraId="067F79DC" w14:textId="77777777" w:rsidTr="00CC0371">
        <w:trPr>
          <w:jc w:val="center"/>
        </w:trPr>
        <w:tc>
          <w:tcPr>
            <w:tcW w:w="0" w:type="auto"/>
            <w:hideMark/>
          </w:tcPr>
          <w:p w14:paraId="3963EDF9"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Facebook followers</w:t>
            </w:r>
          </w:p>
        </w:tc>
        <w:tc>
          <w:tcPr>
            <w:tcW w:w="0" w:type="auto"/>
            <w:hideMark/>
          </w:tcPr>
          <w:p w14:paraId="49AD4279"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7,004</w:t>
            </w:r>
          </w:p>
        </w:tc>
        <w:tc>
          <w:tcPr>
            <w:tcW w:w="0" w:type="auto"/>
            <w:hideMark/>
          </w:tcPr>
          <w:p w14:paraId="16DBEDB5"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40,043</w:t>
            </w:r>
          </w:p>
        </w:tc>
        <w:tc>
          <w:tcPr>
            <w:tcW w:w="0" w:type="auto"/>
            <w:hideMark/>
          </w:tcPr>
          <w:p w14:paraId="0E3AF2C0"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52,012</w:t>
            </w:r>
          </w:p>
        </w:tc>
      </w:tr>
      <w:tr w:rsidR="00CC0371" w:rsidRPr="00CC0371" w14:paraId="02385773" w14:textId="77777777" w:rsidTr="00CC0371">
        <w:trPr>
          <w:jc w:val="center"/>
        </w:trPr>
        <w:tc>
          <w:tcPr>
            <w:tcW w:w="0" w:type="auto"/>
            <w:hideMark/>
          </w:tcPr>
          <w:p w14:paraId="637292AF"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Twitter followers</w:t>
            </w:r>
          </w:p>
        </w:tc>
        <w:tc>
          <w:tcPr>
            <w:tcW w:w="0" w:type="auto"/>
            <w:hideMark/>
          </w:tcPr>
          <w:p w14:paraId="3D723265"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7,667</w:t>
            </w:r>
          </w:p>
        </w:tc>
        <w:tc>
          <w:tcPr>
            <w:tcW w:w="0" w:type="auto"/>
            <w:hideMark/>
          </w:tcPr>
          <w:p w14:paraId="610418F7"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10,353</w:t>
            </w:r>
          </w:p>
        </w:tc>
        <w:tc>
          <w:tcPr>
            <w:tcW w:w="0" w:type="auto"/>
            <w:hideMark/>
          </w:tcPr>
          <w:p w14:paraId="753EB87C"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13,459</w:t>
            </w:r>
          </w:p>
        </w:tc>
      </w:tr>
      <w:tr w:rsidR="00CC0371" w:rsidRPr="00CC0371" w14:paraId="4F8707EA" w14:textId="77777777" w:rsidTr="00CC0371">
        <w:trPr>
          <w:jc w:val="center"/>
        </w:trPr>
        <w:tc>
          <w:tcPr>
            <w:tcW w:w="0" w:type="auto"/>
            <w:hideMark/>
          </w:tcPr>
          <w:p w14:paraId="467F878E"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Instagram followers</w:t>
            </w:r>
          </w:p>
        </w:tc>
        <w:tc>
          <w:tcPr>
            <w:tcW w:w="0" w:type="auto"/>
            <w:hideMark/>
          </w:tcPr>
          <w:p w14:paraId="258035F2"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426</w:t>
            </w:r>
          </w:p>
        </w:tc>
        <w:tc>
          <w:tcPr>
            <w:tcW w:w="0" w:type="auto"/>
            <w:hideMark/>
          </w:tcPr>
          <w:p w14:paraId="42A249D9"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2,442</w:t>
            </w:r>
          </w:p>
        </w:tc>
        <w:tc>
          <w:tcPr>
            <w:tcW w:w="0" w:type="auto"/>
            <w:hideMark/>
          </w:tcPr>
          <w:p w14:paraId="66F7E7DD" w14:textId="77777777" w:rsidR="00CC0371" w:rsidRPr="00CC0371" w:rsidRDefault="00CC0371" w:rsidP="00CC0371">
            <w:pPr>
              <w:jc w:val="both"/>
              <w:rPr>
                <w:rFonts w:ascii="Tahoma" w:eastAsia="Times New Roman" w:hAnsi="Tahoma" w:cs="Tahoma"/>
                <w:kern w:val="0"/>
                <w:sz w:val="22"/>
                <w:szCs w:val="22"/>
                <w:lang w:eastAsia="en-GB"/>
                <w14:ligatures w14:val="none"/>
              </w:rPr>
            </w:pPr>
            <w:r w:rsidRPr="00CC0371">
              <w:rPr>
                <w:rFonts w:ascii="Tahoma" w:eastAsia="Times New Roman" w:hAnsi="Tahoma" w:cs="Tahoma"/>
                <w:kern w:val="0"/>
                <w:sz w:val="22"/>
                <w:szCs w:val="22"/>
                <w:lang w:eastAsia="en-GB"/>
                <w14:ligatures w14:val="none"/>
              </w:rPr>
              <w:t>3,175</w:t>
            </w:r>
          </w:p>
        </w:tc>
      </w:tr>
    </w:tbl>
    <w:p w14:paraId="7272BA48"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0A4774CD" w14:textId="03E48FF1"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Influence and Advocacy Outcomes</w:t>
      </w:r>
    </w:p>
    <w:p w14:paraId="72589950" w14:textId="77777777" w:rsidR="00CC0371" w:rsidRPr="00CC0371" w:rsidRDefault="00CC0371" w:rsidP="00CC0371">
      <w:pPr>
        <w:numPr>
          <w:ilvl w:val="0"/>
          <w:numId w:val="1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Evidence of GL messaging appearing in policy debates, news coverage, and partner advocacy initiatives.</w:t>
      </w:r>
    </w:p>
    <w:p w14:paraId="4BFE7EC8" w14:textId="77777777" w:rsidR="00CC0371" w:rsidRPr="00CC0371" w:rsidRDefault="00CC0371" w:rsidP="00CC0371">
      <w:pPr>
        <w:numPr>
          <w:ilvl w:val="0"/>
          <w:numId w:val="12"/>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Increased public awareness and engagement on gender equality issues.</w:t>
      </w:r>
    </w:p>
    <w:p w14:paraId="532D1752"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7D52AE12" w14:textId="29BD031C"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Storytelling and Content Production</w:t>
      </w:r>
    </w:p>
    <w:p w14:paraId="67ECEC90" w14:textId="77777777" w:rsidR="00CC0371" w:rsidRPr="00CC0371" w:rsidRDefault="00CC0371" w:rsidP="00CC0371">
      <w:pPr>
        <w:numPr>
          <w:ilvl w:val="0"/>
          <w:numId w:val="1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Number of high-quality stories, blogs, and case studies produced annually across countries.</w:t>
      </w:r>
    </w:p>
    <w:p w14:paraId="073C2C1A" w14:textId="77777777" w:rsidR="00CC0371" w:rsidRPr="00CC0371" w:rsidRDefault="00CC0371" w:rsidP="00CC0371">
      <w:pPr>
        <w:numPr>
          <w:ilvl w:val="0"/>
          <w:numId w:val="1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Increased diversity of content formats, including videos, podcasts, and data visualisations.</w:t>
      </w:r>
    </w:p>
    <w:p w14:paraId="2A74A87B" w14:textId="77777777" w:rsidR="00CC0371" w:rsidRPr="00CC0371" w:rsidRDefault="00CC0371" w:rsidP="00CC0371">
      <w:pPr>
        <w:numPr>
          <w:ilvl w:val="0"/>
          <w:numId w:val="13"/>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Volume of content generated by programme participants and partners.</w:t>
      </w:r>
    </w:p>
    <w:p w14:paraId="3EE97132"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587031A7" w14:textId="7FA02CF3"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Digital Strength</w:t>
      </w:r>
    </w:p>
    <w:p w14:paraId="632DABA2" w14:textId="77777777" w:rsidR="00CC0371" w:rsidRPr="00CC0371" w:rsidRDefault="00CC0371" w:rsidP="00CC0371">
      <w:pPr>
        <w:numPr>
          <w:ilvl w:val="0"/>
          <w:numId w:val="14"/>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Growth in multimedia content views, downloads, and engagement metrics.</w:t>
      </w:r>
    </w:p>
    <w:p w14:paraId="6A1E4921" w14:textId="77777777" w:rsidR="00CC0371" w:rsidRPr="00CC0371" w:rsidRDefault="00CC0371" w:rsidP="00CC0371">
      <w:pPr>
        <w:numPr>
          <w:ilvl w:val="0"/>
          <w:numId w:val="14"/>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Increased user interaction with interactive research platforms and dashboards.</w:t>
      </w:r>
    </w:p>
    <w:p w14:paraId="0084BF01"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26E86AAE" w14:textId="2ABBC517"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Partnerships and Engagement</w:t>
      </w:r>
    </w:p>
    <w:p w14:paraId="3D515A12" w14:textId="77777777" w:rsidR="00CC0371" w:rsidRPr="00CC0371" w:rsidRDefault="00CC0371" w:rsidP="00CC0371">
      <w:pPr>
        <w:numPr>
          <w:ilvl w:val="0"/>
          <w:numId w:val="15"/>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Number of collaborations with media houses, influencers, and digital partners.</w:t>
      </w:r>
    </w:p>
    <w:p w14:paraId="74F93B9A" w14:textId="77777777" w:rsidR="00CC0371" w:rsidRPr="00CC0371" w:rsidRDefault="00CC0371" w:rsidP="00CC0371">
      <w:pPr>
        <w:numPr>
          <w:ilvl w:val="0"/>
          <w:numId w:val="15"/>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Increased joint campaigns and shared advocacy initiatives.</w:t>
      </w:r>
    </w:p>
    <w:p w14:paraId="2492B1CD" w14:textId="77777777" w:rsid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p>
    <w:p w14:paraId="187085B3" w14:textId="1F413B75" w:rsidR="00CC0371" w:rsidRPr="00CC0371" w:rsidRDefault="00CC0371" w:rsidP="00CC0371">
      <w:pPr>
        <w:spacing w:after="0" w:line="240" w:lineRule="auto"/>
        <w:jc w:val="both"/>
        <w:outlineLvl w:val="2"/>
        <w:rPr>
          <w:rFonts w:ascii="Tahoma" w:eastAsia="Times New Roman" w:hAnsi="Tahoma" w:cs="Tahoma"/>
          <w:b/>
          <w:bCs/>
          <w:color w:val="000000"/>
          <w:kern w:val="0"/>
          <w:sz w:val="22"/>
          <w:szCs w:val="22"/>
          <w:lang w:eastAsia="en-GB"/>
          <w14:ligatures w14:val="none"/>
        </w:rPr>
      </w:pPr>
      <w:r w:rsidRPr="00CC0371">
        <w:rPr>
          <w:rFonts w:ascii="Tahoma" w:eastAsia="Times New Roman" w:hAnsi="Tahoma" w:cs="Tahoma"/>
          <w:b/>
          <w:bCs/>
          <w:color w:val="000000"/>
          <w:kern w:val="0"/>
          <w:sz w:val="22"/>
          <w:szCs w:val="22"/>
          <w:lang w:eastAsia="en-GB"/>
          <w14:ligatures w14:val="none"/>
        </w:rPr>
        <w:t>Internal Efficiency and Brand Consistency</w:t>
      </w:r>
    </w:p>
    <w:p w14:paraId="2FC5D628" w14:textId="77777777" w:rsidR="00CC0371" w:rsidRPr="00CC0371" w:rsidRDefault="00CC0371" w:rsidP="00CC0371">
      <w:pPr>
        <w:numPr>
          <w:ilvl w:val="0"/>
          <w:numId w:val="16"/>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Adoption of GL communication templates, messaging frameworks, and branding guidelines across programmes and country offices.</w:t>
      </w:r>
    </w:p>
    <w:p w14:paraId="53B583DD" w14:textId="77777777" w:rsidR="00CC0371" w:rsidRPr="00CC0371" w:rsidRDefault="00CC0371" w:rsidP="00CC0371">
      <w:pPr>
        <w:numPr>
          <w:ilvl w:val="0"/>
          <w:numId w:val="16"/>
        </w:numPr>
        <w:spacing w:after="0" w:line="240" w:lineRule="auto"/>
        <w:jc w:val="both"/>
        <w:rPr>
          <w:rFonts w:ascii="Tahoma" w:eastAsia="Times New Roman" w:hAnsi="Tahoma" w:cs="Tahoma"/>
          <w:color w:val="000000"/>
          <w:kern w:val="0"/>
          <w:sz w:val="22"/>
          <w:szCs w:val="22"/>
          <w:lang w:eastAsia="en-GB"/>
          <w14:ligatures w14:val="none"/>
        </w:rPr>
      </w:pPr>
      <w:r w:rsidRPr="00CC0371">
        <w:rPr>
          <w:rFonts w:ascii="Tahoma" w:eastAsia="Times New Roman" w:hAnsi="Tahoma" w:cs="Tahoma"/>
          <w:color w:val="000000"/>
          <w:kern w:val="0"/>
          <w:sz w:val="22"/>
          <w:szCs w:val="22"/>
          <w:lang w:eastAsia="en-GB"/>
          <w14:ligatures w14:val="none"/>
        </w:rPr>
        <w:t>Regular internal communication planning cycles and improved staff capacity in digital storytelling and media engagement.</w:t>
      </w:r>
    </w:p>
    <w:p w14:paraId="3D168F86" w14:textId="77777777" w:rsidR="0029087B" w:rsidRPr="00CC0371" w:rsidRDefault="0029087B" w:rsidP="00CC0371">
      <w:pPr>
        <w:spacing w:after="0" w:line="240" w:lineRule="auto"/>
        <w:jc w:val="both"/>
        <w:rPr>
          <w:rFonts w:ascii="Tahoma" w:hAnsi="Tahoma" w:cs="Tahoma"/>
          <w:sz w:val="22"/>
          <w:szCs w:val="22"/>
        </w:rPr>
      </w:pPr>
    </w:p>
    <w:sectPr w:rsidR="0029087B" w:rsidRPr="00CC037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CC2E" w14:textId="77777777" w:rsidR="00816A5C" w:rsidRDefault="00816A5C" w:rsidP="004D1BCF">
      <w:pPr>
        <w:spacing w:after="0" w:line="240" w:lineRule="auto"/>
      </w:pPr>
      <w:r>
        <w:separator/>
      </w:r>
    </w:p>
  </w:endnote>
  <w:endnote w:type="continuationSeparator" w:id="0">
    <w:p w14:paraId="402AD933" w14:textId="77777777" w:rsidR="00816A5C" w:rsidRDefault="00816A5C" w:rsidP="004D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022115"/>
      <w:docPartObj>
        <w:docPartGallery w:val="Page Numbers (Bottom of Page)"/>
        <w:docPartUnique/>
      </w:docPartObj>
    </w:sdtPr>
    <w:sdtContent>
      <w:p w14:paraId="2CF2C4A8" w14:textId="5E29AF12" w:rsidR="004D1BCF" w:rsidRDefault="004D1BCF" w:rsidP="008008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CEE9F9" w14:textId="77777777" w:rsidR="004D1BCF" w:rsidRDefault="004D1BCF" w:rsidP="004D1B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422205"/>
      <w:docPartObj>
        <w:docPartGallery w:val="Page Numbers (Bottom of Page)"/>
        <w:docPartUnique/>
      </w:docPartObj>
    </w:sdtPr>
    <w:sdtContent>
      <w:p w14:paraId="2DD846D2" w14:textId="624D028A" w:rsidR="004D1BCF" w:rsidRDefault="004D1BCF" w:rsidP="008008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0F73C0" w14:textId="77777777" w:rsidR="004D1BCF" w:rsidRDefault="004D1BCF" w:rsidP="004D1B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1DFC" w14:textId="77777777" w:rsidR="00816A5C" w:rsidRDefault="00816A5C" w:rsidP="004D1BCF">
      <w:pPr>
        <w:spacing w:after="0" w:line="240" w:lineRule="auto"/>
      </w:pPr>
      <w:r>
        <w:separator/>
      </w:r>
    </w:p>
  </w:footnote>
  <w:footnote w:type="continuationSeparator" w:id="0">
    <w:p w14:paraId="389AB8F2" w14:textId="77777777" w:rsidR="00816A5C" w:rsidRDefault="00816A5C" w:rsidP="004D1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571"/>
    <w:multiLevelType w:val="multilevel"/>
    <w:tmpl w:val="5EC8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C19C4"/>
    <w:multiLevelType w:val="multilevel"/>
    <w:tmpl w:val="3DA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348B"/>
    <w:multiLevelType w:val="multilevel"/>
    <w:tmpl w:val="C7FA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78D8"/>
    <w:multiLevelType w:val="multilevel"/>
    <w:tmpl w:val="8E3A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555E"/>
    <w:multiLevelType w:val="multilevel"/>
    <w:tmpl w:val="7D9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F3DA9"/>
    <w:multiLevelType w:val="multilevel"/>
    <w:tmpl w:val="6F46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C7D60"/>
    <w:multiLevelType w:val="multilevel"/>
    <w:tmpl w:val="47B44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67C37"/>
    <w:multiLevelType w:val="multilevel"/>
    <w:tmpl w:val="5F3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C37DA"/>
    <w:multiLevelType w:val="multilevel"/>
    <w:tmpl w:val="CF16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578CD"/>
    <w:multiLevelType w:val="multilevel"/>
    <w:tmpl w:val="2CC0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63FD9"/>
    <w:multiLevelType w:val="multilevel"/>
    <w:tmpl w:val="4C3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16763"/>
    <w:multiLevelType w:val="multilevel"/>
    <w:tmpl w:val="3678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A51CC"/>
    <w:multiLevelType w:val="multilevel"/>
    <w:tmpl w:val="AA8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455AA"/>
    <w:multiLevelType w:val="multilevel"/>
    <w:tmpl w:val="6A6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D306D"/>
    <w:multiLevelType w:val="multilevel"/>
    <w:tmpl w:val="FA12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239B5"/>
    <w:multiLevelType w:val="multilevel"/>
    <w:tmpl w:val="04A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730720">
    <w:abstractNumId w:val="6"/>
  </w:num>
  <w:num w:numId="2" w16cid:durableId="532815272">
    <w:abstractNumId w:val="3"/>
  </w:num>
  <w:num w:numId="3" w16cid:durableId="721711879">
    <w:abstractNumId w:val="12"/>
  </w:num>
  <w:num w:numId="4" w16cid:durableId="428278893">
    <w:abstractNumId w:val="4"/>
  </w:num>
  <w:num w:numId="5" w16cid:durableId="1634561109">
    <w:abstractNumId w:val="14"/>
  </w:num>
  <w:num w:numId="6" w16cid:durableId="574508240">
    <w:abstractNumId w:val="10"/>
  </w:num>
  <w:num w:numId="7" w16cid:durableId="1355887371">
    <w:abstractNumId w:val="0"/>
  </w:num>
  <w:num w:numId="8" w16cid:durableId="1776559926">
    <w:abstractNumId w:val="11"/>
  </w:num>
  <w:num w:numId="9" w16cid:durableId="1808544426">
    <w:abstractNumId w:val="15"/>
  </w:num>
  <w:num w:numId="10" w16cid:durableId="588730914">
    <w:abstractNumId w:val="13"/>
  </w:num>
  <w:num w:numId="11" w16cid:durableId="1961647100">
    <w:abstractNumId w:val="5"/>
  </w:num>
  <w:num w:numId="12" w16cid:durableId="1093430551">
    <w:abstractNumId w:val="8"/>
  </w:num>
  <w:num w:numId="13" w16cid:durableId="361639508">
    <w:abstractNumId w:val="9"/>
  </w:num>
  <w:num w:numId="14" w16cid:durableId="641347554">
    <w:abstractNumId w:val="1"/>
  </w:num>
  <w:num w:numId="15" w16cid:durableId="373624385">
    <w:abstractNumId w:val="7"/>
  </w:num>
  <w:num w:numId="16" w16cid:durableId="142619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71"/>
    <w:rsid w:val="00245C5A"/>
    <w:rsid w:val="0029087B"/>
    <w:rsid w:val="00293821"/>
    <w:rsid w:val="002D2F06"/>
    <w:rsid w:val="003A26CB"/>
    <w:rsid w:val="004205D4"/>
    <w:rsid w:val="004D1BCF"/>
    <w:rsid w:val="00557ABC"/>
    <w:rsid w:val="007062FB"/>
    <w:rsid w:val="0071512C"/>
    <w:rsid w:val="00816A5C"/>
    <w:rsid w:val="00AB6AA6"/>
    <w:rsid w:val="00CC0371"/>
    <w:rsid w:val="00F839DE"/>
    <w:rsid w:val="00FD4B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E03C"/>
  <w15:chartTrackingRefBased/>
  <w15:docId w15:val="{83E5F70C-C3AE-324E-93FF-57DBDE4D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1512C"/>
    <w:pPr>
      <w:keepNext/>
      <w:keepLines/>
      <w:spacing w:before="360" w:after="80" w:line="276" w:lineRule="auto"/>
      <w:outlineLvl w:val="0"/>
    </w:pPr>
    <w:rPr>
      <w:rFonts w:ascii="Tahoma" w:eastAsiaTheme="majorEastAsia" w:hAnsi="Tahoma" w:cstheme="majorBidi"/>
      <w:b/>
      <w:color w:val="7030A0"/>
      <w:kern w:val="0"/>
      <w:sz w:val="28"/>
      <w:szCs w:val="40"/>
      <w:lang w:val="en" w:eastAsia="en-GB"/>
      <w14:ligatures w14:val="none"/>
    </w:rPr>
  </w:style>
  <w:style w:type="paragraph" w:styleId="Heading2">
    <w:name w:val="heading 2"/>
    <w:basedOn w:val="Normal"/>
    <w:next w:val="Normal"/>
    <w:link w:val="Heading2Char"/>
    <w:autoRedefine/>
    <w:uiPriority w:val="9"/>
    <w:unhideWhenUsed/>
    <w:qFormat/>
    <w:rsid w:val="0071512C"/>
    <w:pPr>
      <w:keepNext/>
      <w:keepLines/>
      <w:spacing w:before="160" w:after="80" w:line="276" w:lineRule="auto"/>
      <w:outlineLvl w:val="1"/>
    </w:pPr>
    <w:rPr>
      <w:rFonts w:ascii="Tahoma" w:eastAsiaTheme="majorEastAsia" w:hAnsi="Tahoma" w:cstheme="majorBidi"/>
      <w:b/>
      <w:color w:val="5C518D"/>
      <w:kern w:val="0"/>
      <w:sz w:val="22"/>
      <w:szCs w:val="32"/>
      <w:lang w:val="en" w:eastAsia="en-GB"/>
      <w14:ligatures w14:val="none"/>
    </w:rPr>
  </w:style>
  <w:style w:type="paragraph" w:styleId="Heading3">
    <w:name w:val="heading 3"/>
    <w:basedOn w:val="Normal"/>
    <w:next w:val="Normal"/>
    <w:link w:val="Heading3Char"/>
    <w:uiPriority w:val="9"/>
    <w:unhideWhenUsed/>
    <w:qFormat/>
    <w:rsid w:val="00CC0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12C"/>
    <w:rPr>
      <w:rFonts w:ascii="Tahoma" w:eastAsiaTheme="majorEastAsia" w:hAnsi="Tahoma" w:cstheme="majorBidi"/>
      <w:b/>
      <w:color w:val="7030A0"/>
      <w:kern w:val="0"/>
      <w:sz w:val="28"/>
      <w:szCs w:val="40"/>
      <w:lang w:val="en" w:eastAsia="en-GB"/>
      <w14:ligatures w14:val="none"/>
    </w:rPr>
  </w:style>
  <w:style w:type="paragraph" w:styleId="Title">
    <w:name w:val="Title"/>
    <w:basedOn w:val="Normal"/>
    <w:next w:val="Normal"/>
    <w:link w:val="TitleChar"/>
    <w:autoRedefine/>
    <w:uiPriority w:val="10"/>
    <w:qFormat/>
    <w:rsid w:val="0071512C"/>
    <w:pPr>
      <w:spacing w:after="80" w:line="240" w:lineRule="auto"/>
      <w:contextualSpacing/>
      <w:jc w:val="center"/>
    </w:pPr>
    <w:rPr>
      <w:rFonts w:ascii="Tahoma" w:eastAsiaTheme="majorEastAsia" w:hAnsi="Tahoma" w:cstheme="majorBidi"/>
      <w:b/>
      <w:color w:val="5C518D"/>
      <w:spacing w:val="-10"/>
      <w:kern w:val="28"/>
      <w:sz w:val="32"/>
      <w:szCs w:val="56"/>
      <w:lang w:val="en" w:eastAsia="en-GB"/>
      <w14:ligatures w14:val="none"/>
    </w:rPr>
  </w:style>
  <w:style w:type="character" w:customStyle="1" w:styleId="TitleChar">
    <w:name w:val="Title Char"/>
    <w:basedOn w:val="DefaultParagraphFont"/>
    <w:link w:val="Title"/>
    <w:uiPriority w:val="10"/>
    <w:rsid w:val="0071512C"/>
    <w:rPr>
      <w:rFonts w:ascii="Tahoma" w:eastAsiaTheme="majorEastAsia" w:hAnsi="Tahoma" w:cstheme="majorBidi"/>
      <w:b/>
      <w:color w:val="5C518D"/>
      <w:spacing w:val="-10"/>
      <w:kern w:val="28"/>
      <w:sz w:val="32"/>
      <w:szCs w:val="56"/>
      <w:lang w:val="en" w:eastAsia="en-GB"/>
      <w14:ligatures w14:val="none"/>
    </w:rPr>
  </w:style>
  <w:style w:type="paragraph" w:styleId="Subtitle">
    <w:name w:val="Subtitle"/>
    <w:basedOn w:val="Normal"/>
    <w:next w:val="Normal"/>
    <w:link w:val="SubtitleChar"/>
    <w:autoRedefine/>
    <w:uiPriority w:val="11"/>
    <w:qFormat/>
    <w:rsid w:val="0071512C"/>
    <w:pPr>
      <w:numPr>
        <w:ilvl w:val="1"/>
      </w:numPr>
      <w:spacing w:after="0" w:line="276" w:lineRule="auto"/>
      <w:ind w:left="720"/>
    </w:pPr>
    <w:rPr>
      <w:rFonts w:ascii="Tahoma" w:eastAsiaTheme="majorEastAsia" w:hAnsi="Tahoma" w:cstheme="majorBidi"/>
      <w:b/>
      <w:color w:val="615695"/>
      <w:spacing w:val="15"/>
      <w:kern w:val="0"/>
      <w:sz w:val="22"/>
      <w:szCs w:val="28"/>
      <w:lang w:val="en" w:eastAsia="en-GB"/>
      <w14:ligatures w14:val="none"/>
    </w:rPr>
  </w:style>
  <w:style w:type="character" w:customStyle="1" w:styleId="SubtitleChar">
    <w:name w:val="Subtitle Char"/>
    <w:basedOn w:val="DefaultParagraphFont"/>
    <w:link w:val="Subtitle"/>
    <w:uiPriority w:val="11"/>
    <w:rsid w:val="0071512C"/>
    <w:rPr>
      <w:rFonts w:ascii="Tahoma" w:eastAsiaTheme="majorEastAsia" w:hAnsi="Tahoma" w:cstheme="majorBidi"/>
      <w:b/>
      <w:color w:val="615695"/>
      <w:spacing w:val="15"/>
      <w:kern w:val="0"/>
      <w:sz w:val="22"/>
      <w:szCs w:val="28"/>
      <w:lang w:val="en" w:eastAsia="en-GB"/>
      <w14:ligatures w14:val="none"/>
    </w:rPr>
  </w:style>
  <w:style w:type="character" w:customStyle="1" w:styleId="Heading2Char">
    <w:name w:val="Heading 2 Char"/>
    <w:basedOn w:val="DefaultParagraphFont"/>
    <w:link w:val="Heading2"/>
    <w:uiPriority w:val="9"/>
    <w:rsid w:val="0071512C"/>
    <w:rPr>
      <w:rFonts w:ascii="Tahoma" w:eastAsiaTheme="majorEastAsia" w:hAnsi="Tahoma" w:cstheme="majorBidi"/>
      <w:b/>
      <w:color w:val="5C518D"/>
      <w:kern w:val="0"/>
      <w:sz w:val="22"/>
      <w:szCs w:val="32"/>
      <w:lang w:val="en" w:eastAsia="en-GB"/>
      <w14:ligatures w14:val="none"/>
    </w:rPr>
  </w:style>
  <w:style w:type="character" w:customStyle="1" w:styleId="Heading3Char">
    <w:name w:val="Heading 3 Char"/>
    <w:basedOn w:val="DefaultParagraphFont"/>
    <w:link w:val="Heading3"/>
    <w:uiPriority w:val="9"/>
    <w:rsid w:val="00CC0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371"/>
    <w:rPr>
      <w:rFonts w:eastAsiaTheme="majorEastAsia" w:cstheme="majorBidi"/>
      <w:color w:val="272727" w:themeColor="text1" w:themeTint="D8"/>
    </w:rPr>
  </w:style>
  <w:style w:type="paragraph" w:styleId="Quote">
    <w:name w:val="Quote"/>
    <w:basedOn w:val="Normal"/>
    <w:next w:val="Normal"/>
    <w:link w:val="QuoteChar"/>
    <w:uiPriority w:val="29"/>
    <w:qFormat/>
    <w:rsid w:val="00CC0371"/>
    <w:pPr>
      <w:spacing w:before="160"/>
      <w:jc w:val="center"/>
    </w:pPr>
    <w:rPr>
      <w:i/>
      <w:iCs/>
      <w:color w:val="404040" w:themeColor="text1" w:themeTint="BF"/>
    </w:rPr>
  </w:style>
  <w:style w:type="character" w:customStyle="1" w:styleId="QuoteChar">
    <w:name w:val="Quote Char"/>
    <w:basedOn w:val="DefaultParagraphFont"/>
    <w:link w:val="Quote"/>
    <w:uiPriority w:val="29"/>
    <w:rsid w:val="00CC0371"/>
    <w:rPr>
      <w:i/>
      <w:iCs/>
      <w:color w:val="404040" w:themeColor="text1" w:themeTint="BF"/>
    </w:rPr>
  </w:style>
  <w:style w:type="paragraph" w:styleId="ListParagraph">
    <w:name w:val="List Paragraph"/>
    <w:basedOn w:val="Normal"/>
    <w:uiPriority w:val="34"/>
    <w:qFormat/>
    <w:rsid w:val="00CC0371"/>
    <w:pPr>
      <w:ind w:left="720"/>
      <w:contextualSpacing/>
    </w:pPr>
  </w:style>
  <w:style w:type="character" w:styleId="IntenseEmphasis">
    <w:name w:val="Intense Emphasis"/>
    <w:basedOn w:val="DefaultParagraphFont"/>
    <w:uiPriority w:val="21"/>
    <w:qFormat/>
    <w:rsid w:val="00CC0371"/>
    <w:rPr>
      <w:i/>
      <w:iCs/>
      <w:color w:val="0F4761" w:themeColor="accent1" w:themeShade="BF"/>
    </w:rPr>
  </w:style>
  <w:style w:type="paragraph" w:styleId="IntenseQuote">
    <w:name w:val="Intense Quote"/>
    <w:basedOn w:val="Normal"/>
    <w:next w:val="Normal"/>
    <w:link w:val="IntenseQuoteChar"/>
    <w:uiPriority w:val="30"/>
    <w:qFormat/>
    <w:rsid w:val="00CC0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371"/>
    <w:rPr>
      <w:i/>
      <w:iCs/>
      <w:color w:val="0F4761" w:themeColor="accent1" w:themeShade="BF"/>
    </w:rPr>
  </w:style>
  <w:style w:type="character" w:styleId="IntenseReference">
    <w:name w:val="Intense Reference"/>
    <w:basedOn w:val="DefaultParagraphFont"/>
    <w:uiPriority w:val="32"/>
    <w:qFormat/>
    <w:rsid w:val="00CC0371"/>
    <w:rPr>
      <w:b/>
      <w:bCs/>
      <w:smallCaps/>
      <w:color w:val="0F4761" w:themeColor="accent1" w:themeShade="BF"/>
      <w:spacing w:val="5"/>
    </w:rPr>
  </w:style>
  <w:style w:type="paragraph" w:styleId="NormalWeb">
    <w:name w:val="Normal (Web)"/>
    <w:basedOn w:val="Normal"/>
    <w:uiPriority w:val="99"/>
    <w:semiHidden/>
    <w:unhideWhenUsed/>
    <w:rsid w:val="00CC037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C0371"/>
  </w:style>
  <w:style w:type="character" w:styleId="Strong">
    <w:name w:val="Strong"/>
    <w:basedOn w:val="DefaultParagraphFont"/>
    <w:uiPriority w:val="22"/>
    <w:qFormat/>
    <w:rsid w:val="00CC0371"/>
    <w:rPr>
      <w:b/>
      <w:bCs/>
    </w:rPr>
  </w:style>
  <w:style w:type="table" w:styleId="TableGrid">
    <w:name w:val="Table Grid"/>
    <w:basedOn w:val="TableNormal"/>
    <w:uiPriority w:val="39"/>
    <w:rsid w:val="00CC0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1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BCF"/>
  </w:style>
  <w:style w:type="character" w:styleId="PageNumber">
    <w:name w:val="page number"/>
    <w:basedOn w:val="DefaultParagraphFont"/>
    <w:uiPriority w:val="99"/>
    <w:semiHidden/>
    <w:unhideWhenUsed/>
    <w:rsid w:val="004D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ZA"/>
              <a:t>GL Websites Page Visits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11724759405074368"/>
          <c:y val="0.11637681159420292"/>
          <c:w val="0.85219685039370074"/>
          <c:h val="0.7087523298718094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Sheet1!$C$8:$C$12</c:f>
              <c:strCache>
                <c:ptCount val="5"/>
                <c:pt idx="0">
                  <c:v>2020</c:v>
                </c:pt>
                <c:pt idx="1">
                  <c:v>2021</c:v>
                </c:pt>
                <c:pt idx="2">
                  <c:v>2022</c:v>
                </c:pt>
                <c:pt idx="3">
                  <c:v>2023</c:v>
                </c:pt>
                <c:pt idx="4">
                  <c:v>2024/25</c:v>
                </c:pt>
              </c:strCache>
            </c:strRef>
          </c:cat>
          <c:val>
            <c:numRef>
              <c:f>Sheet1!$D$8:$D$12</c:f>
              <c:numCache>
                <c:formatCode>General</c:formatCode>
                <c:ptCount val="5"/>
                <c:pt idx="0">
                  <c:v>396090</c:v>
                </c:pt>
                <c:pt idx="1">
                  <c:v>350931</c:v>
                </c:pt>
                <c:pt idx="2">
                  <c:v>298135</c:v>
                </c:pt>
                <c:pt idx="3">
                  <c:v>347015</c:v>
                </c:pt>
                <c:pt idx="4">
                  <c:v>456724</c:v>
                </c:pt>
              </c:numCache>
            </c:numRef>
          </c:val>
          <c:extLst>
            <c:ext xmlns:c16="http://schemas.microsoft.com/office/drawing/2014/chart" uri="{C3380CC4-5D6E-409C-BE32-E72D297353CC}">
              <c16:uniqueId val="{00000000-A0F7-4A43-8937-B98E52B7D043}"/>
            </c:ext>
          </c:extLst>
        </c:ser>
        <c:dLbls>
          <c:showLegendKey val="0"/>
          <c:showVal val="0"/>
          <c:showCatName val="0"/>
          <c:showSerName val="0"/>
          <c:showPercent val="0"/>
          <c:showBubbleSize val="0"/>
        </c:dLbls>
        <c:gapWidth val="100"/>
        <c:overlap val="-24"/>
        <c:axId val="1961502767"/>
        <c:axId val="1961499439"/>
      </c:barChart>
      <c:catAx>
        <c:axId val="196150276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61499439"/>
        <c:crosses val="autoZero"/>
        <c:auto val="1"/>
        <c:lblAlgn val="ctr"/>
        <c:lblOffset val="100"/>
        <c:noMultiLvlLbl val="0"/>
      </c:catAx>
      <c:valAx>
        <c:axId val="1961499439"/>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61502767"/>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2b16d-ceed-4086-8ef3-12852617e105">
      <Terms xmlns="http://schemas.microsoft.com/office/infopath/2007/PartnerControls"/>
    </lcf76f155ced4ddcb4097134ff3c332f>
    <TaxCatchAll xmlns="5c72703c-1067-4fa7-89cc-ef245258de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B06410A1F9A4983AA508BDEED5B71" ma:contentTypeVersion="18" ma:contentTypeDescription="Create a new document." ma:contentTypeScope="" ma:versionID="60c5862ed449eb9333c55e97db50a978">
  <xsd:schema xmlns:xsd="http://www.w3.org/2001/XMLSchema" xmlns:xs="http://www.w3.org/2001/XMLSchema" xmlns:p="http://schemas.microsoft.com/office/2006/metadata/properties" xmlns:ns2="12a2b16d-ceed-4086-8ef3-12852617e105" xmlns:ns3="5c72703c-1067-4fa7-89cc-ef245258de7b" targetNamespace="http://schemas.microsoft.com/office/2006/metadata/properties" ma:root="true" ma:fieldsID="f0fdb4a9136acac03499c279976276b6" ns2:_="" ns3:_="">
    <xsd:import namespace="12a2b16d-ceed-4086-8ef3-12852617e105"/>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b16d-ceed-4086-8ef3-12852617e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74067-856E-401C-BE90-0A52338F8AD9}">
  <ds:schemaRefs>
    <ds:schemaRef ds:uri="http://schemas.microsoft.com/office/2006/metadata/properties"/>
    <ds:schemaRef ds:uri="http://schemas.microsoft.com/office/infopath/2007/PartnerControls"/>
    <ds:schemaRef ds:uri="12a2b16d-ceed-4086-8ef3-12852617e105"/>
    <ds:schemaRef ds:uri="5c72703c-1067-4fa7-89cc-ef245258de7b"/>
  </ds:schemaRefs>
</ds:datastoreItem>
</file>

<file path=customXml/itemProps2.xml><?xml version="1.0" encoding="utf-8"?>
<ds:datastoreItem xmlns:ds="http://schemas.openxmlformats.org/officeDocument/2006/customXml" ds:itemID="{F52D244F-E0DF-4152-AC07-44D232DE0167}">
  <ds:schemaRefs>
    <ds:schemaRef ds:uri="http://schemas.microsoft.com/sharepoint/v3/contenttype/forms"/>
  </ds:schemaRefs>
</ds:datastoreItem>
</file>

<file path=customXml/itemProps3.xml><?xml version="1.0" encoding="utf-8"?>
<ds:datastoreItem xmlns:ds="http://schemas.openxmlformats.org/officeDocument/2006/customXml" ds:itemID="{4DE685BD-511D-408B-9A30-016C92FB3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2b16d-ceed-4086-8ef3-12852617e105"/>
    <ds:schemaRef ds:uri="5c72703c-1067-4fa7-89cc-ef245258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1102</Words>
  <Characters>7345</Characters>
  <Application>Microsoft Office Word</Application>
  <DocSecurity>0</DocSecurity>
  <Lines>188</Lines>
  <Paragraphs>111</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Tabetha Rudo Kanengoni-Malinga - Manager,  Women of the South Speak Out, GL Services</dc:creator>
  <cp:keywords/>
  <dc:description/>
  <cp:lastModifiedBy>Tabetha Rudo Kanengoni-Malinga - Manager,  Women of the South Speak Out, GL Services</cp:lastModifiedBy>
  <cp:revision>8</cp:revision>
  <dcterms:created xsi:type="dcterms:W3CDTF">2026-03-11T12:55:00Z</dcterms:created>
  <dcterms:modified xsi:type="dcterms:W3CDTF">2026-03-11T17:10:00Z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DFEEA8F1-C37B-4382-9ED4-B8961F38AF68</vt:lpwstr>
  </property>
  <property fmtid="{D5CDD505-2E9C-101B-9397-08002B2CF9AE}" pid="3" name="ContentTypeId">
    <vt:lpwstr>0x010100C55B06410A1F9A4983AA508BDEED5B71</vt:lpwstr>
  </property>
  <property fmtid="{D5CDD505-2E9C-101B-9397-08002B2CF9AE}" pid="4" name="MediaServiceImageTags">
    <vt:lpwstr/>
  </property>
</Properties>
</file>