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610" w:rsidRDefault="00A01EE7" w:rsidP="00A01EE7">
      <w:pPr>
        <w:spacing w:after="0" w:line="240" w:lineRule="auto"/>
        <w:rPr>
          <w:rFonts w:ascii="Tahoma" w:hAnsi="Tahoma" w:cs="Tahoma"/>
          <w:b/>
        </w:rPr>
      </w:pPr>
      <w:r w:rsidRPr="00A01EE7">
        <w:rPr>
          <w:rFonts w:ascii="Tahoma" w:hAnsi="Tahoma" w:cs="Tahoma"/>
          <w:b/>
        </w:rPr>
        <w:t xml:space="preserve">Note on </w:t>
      </w:r>
      <w:r w:rsidR="0080576F" w:rsidRPr="00A01EE7">
        <w:rPr>
          <w:rFonts w:ascii="Tahoma" w:hAnsi="Tahoma" w:cs="Tahoma"/>
          <w:b/>
        </w:rPr>
        <w:t xml:space="preserve">GL’s </w:t>
      </w:r>
      <w:r w:rsidR="00A61521">
        <w:rPr>
          <w:rFonts w:ascii="Tahoma" w:hAnsi="Tahoma" w:cs="Tahoma"/>
          <w:b/>
        </w:rPr>
        <w:t>work on</w:t>
      </w:r>
      <w:r w:rsidR="001A5806">
        <w:rPr>
          <w:rFonts w:ascii="Tahoma" w:hAnsi="Tahoma" w:cs="Tahoma"/>
          <w:b/>
        </w:rPr>
        <w:t xml:space="preserve"> SRHR, </w:t>
      </w:r>
      <w:r w:rsidR="0080576F" w:rsidRPr="00A01EE7">
        <w:rPr>
          <w:rFonts w:ascii="Tahoma" w:hAnsi="Tahoma" w:cs="Tahoma"/>
          <w:b/>
        </w:rPr>
        <w:t xml:space="preserve">Strategic and Network </w:t>
      </w:r>
      <w:r w:rsidR="001A5806">
        <w:rPr>
          <w:rFonts w:ascii="Tahoma" w:hAnsi="Tahoma" w:cs="Tahoma"/>
          <w:b/>
        </w:rPr>
        <w:t xml:space="preserve">Amplify Change </w:t>
      </w:r>
      <w:r w:rsidR="0080576F" w:rsidRPr="00A01EE7">
        <w:rPr>
          <w:rFonts w:ascii="Tahoma" w:hAnsi="Tahoma" w:cs="Tahoma"/>
          <w:b/>
        </w:rPr>
        <w:t>Grant</w:t>
      </w:r>
      <w:r>
        <w:rPr>
          <w:rFonts w:ascii="Tahoma" w:hAnsi="Tahoma" w:cs="Tahoma"/>
          <w:b/>
        </w:rPr>
        <w:t>/s</w:t>
      </w:r>
      <w:r w:rsidR="007D72FE" w:rsidRPr="00A01EE7">
        <w:rPr>
          <w:rFonts w:ascii="Tahoma" w:hAnsi="Tahoma" w:cs="Tahoma"/>
          <w:b/>
        </w:rPr>
        <w:t xml:space="preserve"> </w:t>
      </w:r>
      <w:r w:rsidR="0080576F" w:rsidRPr="00A01EE7">
        <w:rPr>
          <w:rFonts w:ascii="Tahoma" w:hAnsi="Tahoma" w:cs="Tahoma"/>
          <w:b/>
        </w:rPr>
        <w:t xml:space="preserve"> </w:t>
      </w:r>
    </w:p>
    <w:p w:rsidR="00856687" w:rsidRDefault="00793785" w:rsidP="00A85715">
      <w:pPr>
        <w:jc w:val="both"/>
        <w:rPr>
          <w:rFonts w:ascii="Tahoma" w:hAnsi="Tahoma" w:cs="Tahoma"/>
        </w:rPr>
      </w:pPr>
      <w:r>
        <w:rPr>
          <w:rFonts w:ascii="Tahoma" w:hAnsi="Tahoma" w:cs="Tahoma"/>
        </w:rPr>
        <w:t xml:space="preserve">GL is a Southern African Women’s Rights NGO that has championed the SADC Protocol on Gender and Development, coordinates the Southern African Gender Protocol Alliance, and lobbied for the Protocol to be updated in line with the SDGs. GL </w:t>
      </w:r>
      <w:r w:rsidR="007B72CB">
        <w:rPr>
          <w:rFonts w:ascii="Tahoma" w:hAnsi="Tahoma" w:cs="Tahoma"/>
        </w:rPr>
        <w:t>works to implement the Agenda 2030</w:t>
      </w:r>
      <w:r>
        <w:rPr>
          <w:rFonts w:ascii="Tahoma" w:hAnsi="Tahoma" w:cs="Tahoma"/>
        </w:rPr>
        <w:t xml:space="preserve"> </w:t>
      </w:r>
      <w:r w:rsidR="00A61521">
        <w:rPr>
          <w:rFonts w:ascii="Tahoma" w:hAnsi="Tahoma" w:cs="Tahoma"/>
        </w:rPr>
        <w:t xml:space="preserve">SADC Gender </w:t>
      </w:r>
      <w:r>
        <w:rPr>
          <w:rFonts w:ascii="Tahoma" w:hAnsi="Tahoma" w:cs="Tahoma"/>
        </w:rPr>
        <w:t>Protocol in its governance, media and justice programme</w:t>
      </w:r>
      <w:r w:rsidR="007B72CB">
        <w:rPr>
          <w:rFonts w:ascii="Tahoma" w:hAnsi="Tahoma" w:cs="Tahoma"/>
        </w:rPr>
        <w:t>s</w:t>
      </w:r>
      <w:r>
        <w:rPr>
          <w:rFonts w:ascii="Tahoma" w:hAnsi="Tahoma" w:cs="Tahoma"/>
        </w:rPr>
        <w:t xml:space="preserve">, that include working directly with 425 local councils and 108 media houses </w:t>
      </w:r>
      <w:r w:rsidR="007B72CB">
        <w:rPr>
          <w:rFonts w:ascii="Tahoma" w:hAnsi="Tahoma" w:cs="Tahoma"/>
        </w:rPr>
        <w:t xml:space="preserve">that have opted to become Gender Centres of Excellence (COE) </w:t>
      </w:r>
      <w:r>
        <w:rPr>
          <w:rFonts w:ascii="Tahoma" w:hAnsi="Tahoma" w:cs="Tahoma"/>
        </w:rPr>
        <w:t xml:space="preserve">in 15 SADC countries. </w:t>
      </w:r>
    </w:p>
    <w:p w:rsidR="00B1532F" w:rsidRDefault="00793785" w:rsidP="00A85715">
      <w:pPr>
        <w:jc w:val="both"/>
        <w:rPr>
          <w:rFonts w:ascii="Tahoma" w:hAnsi="Tahoma" w:cs="Tahoma"/>
        </w:rPr>
      </w:pPr>
      <w:r>
        <w:rPr>
          <w:rFonts w:ascii="Tahoma" w:hAnsi="Tahoma" w:cs="Tahoma"/>
        </w:rPr>
        <w:t xml:space="preserve">Attached at </w:t>
      </w:r>
      <w:r w:rsidRPr="007B72CB">
        <w:rPr>
          <w:rFonts w:ascii="Tahoma" w:hAnsi="Tahoma" w:cs="Tahoma"/>
          <w:i/>
        </w:rPr>
        <w:t>Annex A</w:t>
      </w:r>
      <w:r>
        <w:rPr>
          <w:rFonts w:ascii="Tahoma" w:hAnsi="Tahoma" w:cs="Tahoma"/>
        </w:rPr>
        <w:t xml:space="preserve"> is GL’s Theory of Change for its work on SRHR, showing how GL seeks to </w:t>
      </w:r>
      <w:r w:rsidR="00322CA9">
        <w:rPr>
          <w:rFonts w:ascii="Tahoma" w:hAnsi="Tahoma" w:cs="Tahoma"/>
        </w:rPr>
        <w:t>“connect the dots” from local</w:t>
      </w:r>
      <w:r w:rsidR="007B72CB">
        <w:rPr>
          <w:rFonts w:ascii="Tahoma" w:hAnsi="Tahoma" w:cs="Tahoma"/>
        </w:rPr>
        <w:t xml:space="preserve">, to national, to regional to global level. </w:t>
      </w:r>
      <w:r w:rsidR="00856687">
        <w:rPr>
          <w:rFonts w:ascii="Tahoma" w:hAnsi="Tahoma" w:cs="Tahoma"/>
        </w:rPr>
        <w:t xml:space="preserve">Attached at </w:t>
      </w:r>
      <w:r w:rsidR="00856687" w:rsidRPr="001A5806">
        <w:rPr>
          <w:rFonts w:ascii="Tahoma" w:hAnsi="Tahoma" w:cs="Tahoma"/>
          <w:i/>
        </w:rPr>
        <w:t>Annex B</w:t>
      </w:r>
      <w:r w:rsidR="00856687">
        <w:rPr>
          <w:rFonts w:ascii="Tahoma" w:hAnsi="Tahoma" w:cs="Tahoma"/>
        </w:rPr>
        <w:t xml:space="preserve"> </w:t>
      </w:r>
      <w:r w:rsidR="001A5806">
        <w:rPr>
          <w:rFonts w:ascii="Tahoma" w:hAnsi="Tahoma" w:cs="Tahoma"/>
        </w:rPr>
        <w:t xml:space="preserve">is </w:t>
      </w:r>
      <w:r w:rsidR="00B1532F">
        <w:rPr>
          <w:rFonts w:ascii="Tahoma" w:hAnsi="Tahoma" w:cs="Tahoma"/>
        </w:rPr>
        <w:t xml:space="preserve">a matrix showing the complementarity between the proposed activities of the Strategic and Network Grants in the next </w:t>
      </w:r>
      <w:proofErr w:type="gramStart"/>
      <w:r w:rsidR="00B1532F">
        <w:rPr>
          <w:rFonts w:ascii="Tahoma" w:hAnsi="Tahoma" w:cs="Tahoma"/>
        </w:rPr>
        <w:t>phase.</w:t>
      </w:r>
      <w:proofErr w:type="gramEnd"/>
      <w:r w:rsidR="00B1532F">
        <w:rPr>
          <w:rFonts w:ascii="Tahoma" w:hAnsi="Tahoma" w:cs="Tahoma"/>
        </w:rPr>
        <w:t xml:space="preserve"> </w:t>
      </w:r>
      <w:r w:rsidR="007B72CB">
        <w:rPr>
          <w:rFonts w:ascii="Tahoma" w:hAnsi="Tahoma" w:cs="Tahoma"/>
        </w:rPr>
        <w:t xml:space="preserve">Attached at </w:t>
      </w:r>
      <w:r w:rsidR="007B72CB" w:rsidRPr="00CC6DF8">
        <w:rPr>
          <w:rFonts w:ascii="Tahoma" w:hAnsi="Tahoma" w:cs="Tahoma"/>
          <w:i/>
        </w:rPr>
        <w:t>Annex C</w:t>
      </w:r>
      <w:r w:rsidR="007B72CB">
        <w:rPr>
          <w:rFonts w:ascii="Tahoma" w:hAnsi="Tahoma" w:cs="Tahoma"/>
        </w:rPr>
        <w:t xml:space="preserve"> is a matrix of GL country </w:t>
      </w:r>
      <w:r w:rsidR="00CC6DF8">
        <w:rPr>
          <w:rFonts w:ascii="Tahoma" w:hAnsi="Tahoma" w:cs="Tahoma"/>
        </w:rPr>
        <w:t xml:space="preserve">offices and Alliance focal networks, showing how these work together. </w:t>
      </w:r>
    </w:p>
    <w:p w:rsidR="00B1532F" w:rsidRDefault="00B1532F" w:rsidP="00B1532F">
      <w:pPr>
        <w:jc w:val="both"/>
        <w:rPr>
          <w:rFonts w:ascii="Tahoma" w:hAnsi="Tahoma" w:cs="Tahoma"/>
        </w:rPr>
      </w:pPr>
      <w:r>
        <w:rPr>
          <w:rFonts w:ascii="Tahoma" w:hAnsi="Tahoma" w:cs="Tahoma"/>
        </w:rPr>
        <w:t>GL’s first A</w:t>
      </w:r>
      <w:r w:rsidR="00A61521">
        <w:rPr>
          <w:rFonts w:ascii="Tahoma" w:hAnsi="Tahoma" w:cs="Tahoma"/>
        </w:rPr>
        <w:t xml:space="preserve">mplify </w:t>
      </w:r>
      <w:r>
        <w:rPr>
          <w:rFonts w:ascii="Tahoma" w:hAnsi="Tahoma" w:cs="Tahoma"/>
        </w:rPr>
        <w:t>C</w:t>
      </w:r>
      <w:r w:rsidR="00A61521">
        <w:rPr>
          <w:rFonts w:ascii="Tahoma" w:hAnsi="Tahoma" w:cs="Tahoma"/>
        </w:rPr>
        <w:t>hange (AC)</w:t>
      </w:r>
      <w:r>
        <w:rPr>
          <w:rFonts w:ascii="Tahoma" w:hAnsi="Tahoma" w:cs="Tahoma"/>
        </w:rPr>
        <w:t xml:space="preserve"> </w:t>
      </w:r>
      <w:r w:rsidRPr="00CC6DF8">
        <w:rPr>
          <w:rFonts w:ascii="Tahoma" w:hAnsi="Tahoma" w:cs="Tahoma"/>
          <w:b/>
        </w:rPr>
        <w:t>Networking Grant 2016 to 2018</w:t>
      </w:r>
      <w:r>
        <w:rPr>
          <w:rFonts w:ascii="Tahoma" w:hAnsi="Tahoma" w:cs="Tahoma"/>
          <w:b/>
        </w:rPr>
        <w:t xml:space="preserve"> </w:t>
      </w:r>
      <w:r>
        <w:rPr>
          <w:rFonts w:ascii="Tahoma" w:hAnsi="Tahoma" w:cs="Tahoma"/>
        </w:rPr>
        <w:t>is entitled “</w:t>
      </w:r>
      <w:r w:rsidRPr="00856687">
        <w:rPr>
          <w:rFonts w:ascii="Tahoma" w:hAnsi="Tahoma" w:cs="Tahoma"/>
          <w:b/>
        </w:rPr>
        <w:t>Strengthening SRHR in the SADC Region Post 2015.”</w:t>
      </w:r>
      <w:r w:rsidR="001E03E4">
        <w:rPr>
          <w:rFonts w:ascii="Tahoma" w:hAnsi="Tahoma" w:cs="Tahoma"/>
        </w:rPr>
        <w:t xml:space="preserve"> This aimed</w:t>
      </w:r>
      <w:r>
        <w:rPr>
          <w:rFonts w:ascii="Tahoma" w:hAnsi="Tahoma" w:cs="Tahoma"/>
        </w:rPr>
        <w:t xml:space="preserve"> to: </w:t>
      </w:r>
      <w:r w:rsidR="00A61521">
        <w:rPr>
          <w:rFonts w:ascii="Tahoma" w:hAnsi="Tahoma" w:cs="Tahoma"/>
        </w:rPr>
        <w:t>“</w:t>
      </w:r>
      <w:r>
        <w:rPr>
          <w:rFonts w:ascii="Tahoma" w:hAnsi="Tahoma" w:cs="Tahoma"/>
        </w:rPr>
        <w:t xml:space="preserve">establish an SRHR working group within the Alliance to gather evidence; advocate for strong SRHR provisions in the Post 2015 SADC Gender Protocol; track implementation and share best practices through SADC </w:t>
      </w:r>
      <w:proofErr w:type="spellStart"/>
      <w:r>
        <w:rPr>
          <w:rFonts w:ascii="Tahoma" w:hAnsi="Tahoma" w:cs="Tahoma"/>
        </w:rPr>
        <w:t>Protocl@Work</w:t>
      </w:r>
      <w:proofErr w:type="spellEnd"/>
      <w:r>
        <w:rPr>
          <w:rFonts w:ascii="Tahoma" w:hAnsi="Tahoma" w:cs="Tahoma"/>
        </w:rPr>
        <w:t xml:space="preserve"> summits.” The Alliance succeeded in lobbying for the inclusion of SRHR in the </w:t>
      </w:r>
      <w:r w:rsidR="001E03E4">
        <w:rPr>
          <w:rFonts w:ascii="Tahoma" w:hAnsi="Tahoma" w:cs="Tahoma"/>
        </w:rPr>
        <w:t xml:space="preserve">Post 2015 Protocol; established an SRHR cluster; undertook training of members on SRHR led by cluster lead SAFAIDS and </w:t>
      </w:r>
      <w:r w:rsidR="00A61521">
        <w:rPr>
          <w:rFonts w:ascii="Tahoma" w:hAnsi="Tahoma" w:cs="Tahoma"/>
        </w:rPr>
        <w:t xml:space="preserve">on </w:t>
      </w:r>
      <w:proofErr w:type="spellStart"/>
      <w:r w:rsidR="001E03E4">
        <w:rPr>
          <w:rFonts w:ascii="Tahoma" w:hAnsi="Tahoma" w:cs="Tahoma"/>
        </w:rPr>
        <w:t>LGBTI</w:t>
      </w:r>
      <w:proofErr w:type="spellEnd"/>
      <w:r w:rsidR="001E03E4">
        <w:rPr>
          <w:rFonts w:ascii="Tahoma" w:hAnsi="Tahoma" w:cs="Tahoma"/>
        </w:rPr>
        <w:t xml:space="preserve"> led by GL; strengthened tracking of SRHR in the annual Barometer; identified key campaigns; established a Young Women’s Network; gathered </w:t>
      </w:r>
      <w:r w:rsidR="00A61521">
        <w:rPr>
          <w:rFonts w:ascii="Tahoma" w:hAnsi="Tahoma" w:cs="Tahoma"/>
        </w:rPr>
        <w:t xml:space="preserve">and analysed </w:t>
      </w:r>
      <w:r w:rsidR="001E03E4">
        <w:rPr>
          <w:rFonts w:ascii="Tahoma" w:hAnsi="Tahoma" w:cs="Tahoma"/>
        </w:rPr>
        <w:t>over 300 Good Practices on SRHR at the an</w:t>
      </w:r>
      <w:r w:rsidR="0066195F">
        <w:rPr>
          <w:rFonts w:ascii="Tahoma" w:hAnsi="Tahoma" w:cs="Tahoma"/>
        </w:rPr>
        <w:t xml:space="preserve">nual SADC Protocol@Work summits (see </w:t>
      </w:r>
      <w:r w:rsidR="0066195F" w:rsidRPr="0066195F">
        <w:rPr>
          <w:rFonts w:ascii="Tahoma" w:hAnsi="Tahoma" w:cs="Tahoma"/>
          <w:i/>
        </w:rPr>
        <w:t>Annex D</w:t>
      </w:r>
      <w:r w:rsidR="0066195F">
        <w:rPr>
          <w:rFonts w:ascii="Tahoma" w:hAnsi="Tahoma" w:cs="Tahoma"/>
        </w:rPr>
        <w:t xml:space="preserve">). </w:t>
      </w:r>
      <w:r w:rsidR="001E03E4">
        <w:rPr>
          <w:rFonts w:ascii="Tahoma" w:hAnsi="Tahoma" w:cs="Tahoma"/>
        </w:rPr>
        <w:t xml:space="preserve">   </w:t>
      </w:r>
      <w:r>
        <w:rPr>
          <w:rFonts w:ascii="Tahoma" w:hAnsi="Tahoma" w:cs="Tahoma"/>
        </w:rPr>
        <w:t xml:space="preserve">     </w:t>
      </w:r>
    </w:p>
    <w:tbl>
      <w:tblPr>
        <w:tblStyle w:val="TableGrid"/>
        <w:tblW w:w="0" w:type="auto"/>
        <w:tblLook w:val="04A0" w:firstRow="1" w:lastRow="0" w:firstColumn="1" w:lastColumn="0" w:noHBand="0" w:noVBand="1"/>
      </w:tblPr>
      <w:tblGrid>
        <w:gridCol w:w="1062"/>
        <w:gridCol w:w="1181"/>
        <w:gridCol w:w="1414"/>
        <w:gridCol w:w="1647"/>
        <w:gridCol w:w="682"/>
        <w:gridCol w:w="600"/>
        <w:gridCol w:w="563"/>
        <w:gridCol w:w="551"/>
        <w:gridCol w:w="495"/>
        <w:gridCol w:w="495"/>
      </w:tblGrid>
      <w:tr w:rsidR="00AE418E" w:rsidTr="00AE418E">
        <w:tc>
          <w:tcPr>
            <w:tcW w:w="5986" w:type="dxa"/>
            <w:gridSpan w:val="5"/>
            <w:shd w:val="clear" w:color="auto" w:fill="76923C" w:themeFill="accent3" w:themeFillShade="BF"/>
          </w:tcPr>
          <w:p w:rsidR="00AE418E" w:rsidRDefault="00AE418E">
            <w:pPr>
              <w:rPr>
                <w:rFonts w:ascii="Tahoma" w:hAnsi="Tahoma" w:cs="Tahoma"/>
              </w:rPr>
            </w:pPr>
            <w:r w:rsidRPr="00A01EE7">
              <w:rPr>
                <w:rFonts w:ascii="Tahoma" w:hAnsi="Tahoma" w:cs="Tahoma"/>
                <w:b/>
              </w:rPr>
              <w:t>STRATEGIC – VOICE AND CHOICE FROM LOCAL TO REGIONAL ACTION</w:t>
            </w:r>
          </w:p>
        </w:tc>
        <w:tc>
          <w:tcPr>
            <w:tcW w:w="2704" w:type="dxa"/>
            <w:gridSpan w:val="5"/>
            <w:shd w:val="clear" w:color="auto" w:fill="E5DFEC" w:themeFill="accent4" w:themeFillTint="33"/>
          </w:tcPr>
          <w:p w:rsidR="00AE418E" w:rsidRDefault="00AE418E" w:rsidP="00AE418E">
            <w:pPr>
              <w:rPr>
                <w:rFonts w:ascii="Tahoma" w:hAnsi="Tahoma" w:cs="Tahoma"/>
                <w:noProof/>
                <w:lang w:eastAsia="en-GB"/>
              </w:rPr>
            </w:pPr>
            <w:r w:rsidRPr="00812902">
              <w:rPr>
                <w:rFonts w:ascii="Tahoma" w:hAnsi="Tahoma" w:cs="Tahoma"/>
                <w:b/>
              </w:rPr>
              <w:t>#</w:t>
            </w:r>
            <w:proofErr w:type="spellStart"/>
            <w:r w:rsidRPr="00812902">
              <w:rPr>
                <w:rFonts w:ascii="Tahoma" w:hAnsi="Tahoma" w:cs="Tahoma"/>
                <w:b/>
              </w:rPr>
              <w:t>SheDecides</w:t>
            </w:r>
            <w:proofErr w:type="spellEnd"/>
            <w:r w:rsidRPr="00812902">
              <w:rPr>
                <w:rFonts w:ascii="Tahoma" w:hAnsi="Tahoma" w:cs="Tahoma"/>
                <w:b/>
              </w:rPr>
              <w:t>: Strengthening SRHR Networks and Campaigns in Southern Africa.</w:t>
            </w:r>
          </w:p>
        </w:tc>
      </w:tr>
      <w:tr w:rsidR="00AE418E" w:rsidTr="00A01EE7">
        <w:tc>
          <w:tcPr>
            <w:tcW w:w="1062" w:type="dxa"/>
            <w:shd w:val="clear" w:color="auto" w:fill="76923C" w:themeFill="accent3" w:themeFillShade="BF"/>
          </w:tcPr>
          <w:p w:rsidR="00AE418E" w:rsidRDefault="00AE418E">
            <w:pPr>
              <w:rPr>
                <w:rFonts w:ascii="Tahoma" w:hAnsi="Tahoma" w:cs="Tahoma"/>
              </w:rPr>
            </w:pPr>
            <w:r>
              <w:rPr>
                <w:rFonts w:ascii="Tahoma" w:hAnsi="Tahoma" w:cs="Tahoma"/>
                <w:noProof/>
                <w:lang w:eastAsia="en-GB"/>
              </w:rPr>
              <mc:AlternateContent>
                <mc:Choice Requires="wps">
                  <w:drawing>
                    <wp:anchor distT="0" distB="0" distL="114300" distR="114300" simplePos="0" relativeHeight="251692032" behindDoc="0" locked="0" layoutInCell="1" allowOverlap="1" wp14:anchorId="1C10A62D" wp14:editId="45C3C2D2">
                      <wp:simplePos x="0" y="0"/>
                      <wp:positionH relativeFrom="column">
                        <wp:posOffset>217805</wp:posOffset>
                      </wp:positionH>
                      <wp:positionV relativeFrom="paragraph">
                        <wp:posOffset>85725</wp:posOffset>
                      </wp:positionV>
                      <wp:extent cx="484505" cy="314325"/>
                      <wp:effectExtent l="38100" t="19050" r="10795" b="28575"/>
                      <wp:wrapNone/>
                      <wp:docPr id="3" name="Up Arrow 3"/>
                      <wp:cNvGraphicFramePr/>
                      <a:graphic xmlns:a="http://schemas.openxmlformats.org/drawingml/2006/main">
                        <a:graphicData uri="http://schemas.microsoft.com/office/word/2010/wordprocessingShape">
                          <wps:wsp>
                            <wps:cNvSpPr/>
                            <wps:spPr>
                              <a:xfrm>
                                <a:off x="0" y="0"/>
                                <a:ext cx="484505" cy="314325"/>
                              </a:xfrm>
                              <a:prstGeom prst="upArrow">
                                <a:avLst/>
                              </a:prstGeom>
                              <a:solidFill>
                                <a:srgbClr val="9BBB59">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17.15pt;margin-top:6.75pt;width:38.15pt;height:24.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" adj="10800" fillcolor="#ebf1de" strokecolor="#385d8a" strokeweight="2pt"/>
                  </w:pict>
                </mc:Fallback>
              </mc:AlternateContent>
            </w:r>
            <w:r>
              <w:rPr>
                <w:rFonts w:ascii="Tahoma" w:hAnsi="Tahoma" w:cs="Tahoma"/>
              </w:rPr>
              <w:t xml:space="preserve">GLOBAL </w:t>
            </w:r>
          </w:p>
        </w:tc>
        <w:tc>
          <w:tcPr>
            <w:tcW w:w="4924" w:type="dxa"/>
            <w:gridSpan w:val="4"/>
            <w:shd w:val="clear" w:color="auto" w:fill="76923C" w:themeFill="accent3" w:themeFillShade="BF"/>
          </w:tcPr>
          <w:p w:rsidR="00AE418E" w:rsidRDefault="00AE418E">
            <w:pPr>
              <w:rPr>
                <w:rFonts w:ascii="Tahoma" w:hAnsi="Tahoma" w:cs="Tahoma"/>
              </w:rPr>
            </w:pPr>
            <w:r>
              <w:rPr>
                <w:rFonts w:ascii="Tahoma" w:hAnsi="Tahoma" w:cs="Tahoma"/>
              </w:rPr>
              <w:t xml:space="preserve">SDG 5 – Universal access to SRHR </w:t>
            </w:r>
          </w:p>
        </w:tc>
        <w:tc>
          <w:tcPr>
            <w:tcW w:w="600" w:type="dxa"/>
            <w:vMerge w:val="restart"/>
            <w:shd w:val="clear" w:color="auto" w:fill="E5DFEC" w:themeFill="accent4" w:themeFillTint="33"/>
            <w:textDirection w:val="btLr"/>
          </w:tcPr>
          <w:p w:rsidR="00AE418E" w:rsidRDefault="00AE418E" w:rsidP="008F75FD">
            <w:pPr>
              <w:ind w:left="113" w:right="113"/>
              <w:rPr>
                <w:rFonts w:ascii="Tahoma" w:hAnsi="Tahoma" w:cs="Tahoma"/>
              </w:rPr>
            </w:pPr>
            <w:r>
              <w:rPr>
                <w:rFonts w:ascii="Tahoma" w:hAnsi="Tahoma" w:cs="Tahoma"/>
              </w:rPr>
              <w:t xml:space="preserve">Strengthen the SRHR network – </w:t>
            </w:r>
            <w:proofErr w:type="spellStart"/>
            <w:r>
              <w:rPr>
                <w:rFonts w:ascii="Tahoma" w:hAnsi="Tahoma" w:cs="Tahoma"/>
              </w:rPr>
              <w:t>LGBTI</w:t>
            </w:r>
            <w:proofErr w:type="spellEnd"/>
            <w:r>
              <w:rPr>
                <w:rFonts w:ascii="Tahoma" w:hAnsi="Tahoma" w:cs="Tahoma"/>
              </w:rPr>
              <w:t xml:space="preserve">, FBOS </w:t>
            </w:r>
          </w:p>
        </w:tc>
        <w:tc>
          <w:tcPr>
            <w:tcW w:w="563" w:type="dxa"/>
            <w:vMerge w:val="restart"/>
            <w:shd w:val="clear" w:color="auto" w:fill="CCC0D9" w:themeFill="accent4" w:themeFillTint="66"/>
            <w:textDirection w:val="btLr"/>
          </w:tcPr>
          <w:p w:rsidR="00AE418E" w:rsidRDefault="00AE418E" w:rsidP="008F75FD">
            <w:pPr>
              <w:ind w:left="113" w:right="113"/>
              <w:rPr>
                <w:rFonts w:ascii="Tahoma" w:hAnsi="Tahoma" w:cs="Tahoma"/>
              </w:rPr>
            </w:pPr>
            <w:r>
              <w:rPr>
                <w:rFonts w:ascii="Tahoma" w:hAnsi="Tahoma" w:cs="Tahoma"/>
              </w:rPr>
              <w:t xml:space="preserve">Capacity building for smaller organisations </w:t>
            </w:r>
          </w:p>
        </w:tc>
        <w:tc>
          <w:tcPr>
            <w:tcW w:w="551" w:type="dxa"/>
            <w:vMerge w:val="restart"/>
            <w:shd w:val="clear" w:color="auto" w:fill="B2A1C7" w:themeFill="accent4" w:themeFillTint="99"/>
            <w:textDirection w:val="btLr"/>
          </w:tcPr>
          <w:p w:rsidR="00AE418E" w:rsidRDefault="00AE418E" w:rsidP="00BE0565">
            <w:pPr>
              <w:ind w:left="113" w:right="113"/>
              <w:rPr>
                <w:rFonts w:ascii="Tahoma" w:hAnsi="Tahoma" w:cs="Tahoma"/>
              </w:rPr>
            </w:pPr>
            <w:r>
              <w:rPr>
                <w:rFonts w:ascii="Tahoma" w:hAnsi="Tahoma" w:cs="Tahoma"/>
              </w:rPr>
              <w:t>Specific campaigns – #</w:t>
            </w:r>
            <w:proofErr w:type="spellStart"/>
            <w:r>
              <w:rPr>
                <w:rFonts w:ascii="Tahoma" w:hAnsi="Tahoma" w:cs="Tahoma"/>
              </w:rPr>
              <w:t>SheDecidesSouthernAfrica</w:t>
            </w:r>
            <w:proofErr w:type="spellEnd"/>
          </w:p>
        </w:tc>
        <w:tc>
          <w:tcPr>
            <w:tcW w:w="495" w:type="dxa"/>
            <w:vMerge w:val="restart"/>
            <w:shd w:val="clear" w:color="auto" w:fill="8064A2" w:themeFill="accent4"/>
            <w:textDirection w:val="btLr"/>
          </w:tcPr>
          <w:p w:rsidR="00AE418E" w:rsidRDefault="00AE418E" w:rsidP="00BE0565">
            <w:pPr>
              <w:ind w:left="113" w:right="113"/>
              <w:rPr>
                <w:rFonts w:ascii="Tahoma" w:hAnsi="Tahoma" w:cs="Tahoma"/>
              </w:rPr>
            </w:pPr>
            <w:r>
              <w:rPr>
                <w:rFonts w:ascii="Tahoma" w:hAnsi="Tahoma" w:cs="Tahoma"/>
              </w:rPr>
              <w:t xml:space="preserve">Media as partner, train, engage </w:t>
            </w:r>
          </w:p>
        </w:tc>
        <w:tc>
          <w:tcPr>
            <w:tcW w:w="495" w:type="dxa"/>
            <w:vMerge w:val="restart"/>
            <w:shd w:val="clear" w:color="auto" w:fill="403152" w:themeFill="accent4" w:themeFillShade="80"/>
            <w:textDirection w:val="btLr"/>
          </w:tcPr>
          <w:p w:rsidR="00AE418E" w:rsidRDefault="00AE418E" w:rsidP="00BE0565">
            <w:pPr>
              <w:ind w:left="113" w:right="113"/>
              <w:rPr>
                <w:rFonts w:ascii="Tahoma" w:hAnsi="Tahoma" w:cs="Tahoma"/>
              </w:rPr>
            </w:pPr>
            <w:r>
              <w:rPr>
                <w:rFonts w:ascii="Tahoma" w:hAnsi="Tahoma" w:cs="Tahoma"/>
                <w:noProof/>
                <w:lang w:eastAsia="en-GB"/>
              </w:rPr>
              <mc:AlternateContent>
                <mc:Choice Requires="wps">
                  <w:drawing>
                    <wp:anchor distT="0" distB="0" distL="114300" distR="114300" simplePos="0" relativeHeight="251695104" behindDoc="0" locked="0" layoutInCell="1" allowOverlap="1" wp14:anchorId="0215CE28" wp14:editId="19927C2C">
                      <wp:simplePos x="0" y="0"/>
                      <wp:positionH relativeFrom="column">
                        <wp:posOffset>314960</wp:posOffset>
                      </wp:positionH>
                      <wp:positionV relativeFrom="paragraph">
                        <wp:posOffset>-1024255</wp:posOffset>
                      </wp:positionV>
                      <wp:extent cx="731520" cy="1216152"/>
                      <wp:effectExtent l="0" t="0" r="11430" b="22225"/>
                      <wp:wrapNone/>
                      <wp:docPr id="8" name="Curved Left Arrow 8"/>
                      <wp:cNvGraphicFramePr/>
                      <a:graphic xmlns:a="http://schemas.openxmlformats.org/drawingml/2006/main">
                        <a:graphicData uri="http://schemas.microsoft.com/office/word/2010/wordprocessingShape">
                          <wps:wsp>
                            <wps:cNvSpPr/>
                            <wps:spPr>
                              <a:xfrm>
                                <a:off x="0" y="0"/>
                                <a:ext cx="731520" cy="1216152"/>
                              </a:xfrm>
                              <a:prstGeom prst="curvedLeftArrow">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8" o:spid="_x0000_s1026" type="#_x0000_t103" style="position:absolute;margin-left:24.8pt;margin-top:-80.65pt;width:57.6pt;height:9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" adj="15104,19976,5400" fillcolor="#f2dbdb [661]" strokecolor="#243f60 [1604]" strokeweight="2pt"/>
                  </w:pict>
                </mc:Fallback>
              </mc:AlternateContent>
            </w:r>
            <w:r>
              <w:rPr>
                <w:rFonts w:ascii="Tahoma" w:hAnsi="Tahoma" w:cs="Tahoma"/>
              </w:rPr>
              <w:t xml:space="preserve">Community of Practice </w:t>
            </w:r>
          </w:p>
        </w:tc>
      </w:tr>
      <w:tr w:rsidR="00AE418E" w:rsidTr="00A01EE7">
        <w:trPr>
          <w:cantSplit/>
          <w:trHeight w:val="1398"/>
        </w:trPr>
        <w:tc>
          <w:tcPr>
            <w:tcW w:w="1062" w:type="dxa"/>
            <w:shd w:val="clear" w:color="auto" w:fill="C2D69B" w:themeFill="accent3" w:themeFillTint="99"/>
            <w:textDirection w:val="btLr"/>
          </w:tcPr>
          <w:p w:rsidR="00AE418E" w:rsidRDefault="00AE418E" w:rsidP="00107D02">
            <w:pPr>
              <w:ind w:left="113" w:right="113"/>
              <w:rPr>
                <w:rFonts w:ascii="Tahoma" w:hAnsi="Tahoma" w:cs="Tahoma"/>
              </w:rPr>
            </w:pPr>
            <w:r>
              <w:rPr>
                <w:rFonts w:ascii="Tahoma" w:hAnsi="Tahoma" w:cs="Tahoma"/>
              </w:rPr>
              <w:t xml:space="preserve">REGIONAL </w:t>
            </w:r>
          </w:p>
        </w:tc>
        <w:tc>
          <w:tcPr>
            <w:tcW w:w="4924" w:type="dxa"/>
            <w:gridSpan w:val="4"/>
            <w:shd w:val="clear" w:color="auto" w:fill="C2D69B" w:themeFill="accent3" w:themeFillTint="99"/>
          </w:tcPr>
          <w:p w:rsidR="00AE418E" w:rsidRDefault="00AE418E">
            <w:pPr>
              <w:rPr>
                <w:rFonts w:ascii="Tahoma" w:hAnsi="Tahoma" w:cs="Tahoma"/>
              </w:rPr>
            </w:pPr>
            <w:r>
              <w:rPr>
                <w:rFonts w:ascii="Tahoma" w:hAnsi="Tahoma" w:cs="Tahoma"/>
              </w:rPr>
              <w:t xml:space="preserve">Regional – SADC Protocol on Gender and Development – Articles. Annual Barometer to track progress. Regional cluster led by SAFAIDS. </w:t>
            </w:r>
          </w:p>
        </w:tc>
        <w:tc>
          <w:tcPr>
            <w:tcW w:w="600" w:type="dxa"/>
            <w:vMerge/>
            <w:shd w:val="clear" w:color="auto" w:fill="E5DFEC" w:themeFill="accent4" w:themeFillTint="33"/>
          </w:tcPr>
          <w:p w:rsidR="00AE418E" w:rsidRDefault="00AE418E">
            <w:pPr>
              <w:rPr>
                <w:rFonts w:ascii="Tahoma" w:hAnsi="Tahoma" w:cs="Tahoma"/>
              </w:rPr>
            </w:pPr>
          </w:p>
        </w:tc>
        <w:tc>
          <w:tcPr>
            <w:tcW w:w="563" w:type="dxa"/>
            <w:vMerge/>
            <w:shd w:val="clear" w:color="auto" w:fill="CCC0D9" w:themeFill="accent4" w:themeFillTint="66"/>
          </w:tcPr>
          <w:p w:rsidR="00AE418E" w:rsidRDefault="00AE418E">
            <w:pPr>
              <w:rPr>
                <w:rFonts w:ascii="Tahoma" w:hAnsi="Tahoma" w:cs="Tahoma"/>
              </w:rPr>
            </w:pPr>
          </w:p>
        </w:tc>
        <w:tc>
          <w:tcPr>
            <w:tcW w:w="551" w:type="dxa"/>
            <w:vMerge/>
            <w:shd w:val="clear" w:color="auto" w:fill="B2A1C7" w:themeFill="accent4" w:themeFillTint="99"/>
          </w:tcPr>
          <w:p w:rsidR="00AE418E" w:rsidRDefault="00AE418E">
            <w:pPr>
              <w:rPr>
                <w:rFonts w:ascii="Tahoma" w:hAnsi="Tahoma" w:cs="Tahoma"/>
              </w:rPr>
            </w:pPr>
          </w:p>
        </w:tc>
        <w:tc>
          <w:tcPr>
            <w:tcW w:w="495" w:type="dxa"/>
            <w:vMerge/>
            <w:shd w:val="clear" w:color="auto" w:fill="8064A2" w:themeFill="accent4"/>
          </w:tcPr>
          <w:p w:rsidR="00AE418E" w:rsidRDefault="00AE418E">
            <w:pPr>
              <w:rPr>
                <w:rFonts w:ascii="Tahoma" w:hAnsi="Tahoma" w:cs="Tahoma"/>
              </w:rPr>
            </w:pPr>
          </w:p>
        </w:tc>
        <w:tc>
          <w:tcPr>
            <w:tcW w:w="495" w:type="dxa"/>
            <w:vMerge/>
            <w:shd w:val="clear" w:color="auto" w:fill="403152" w:themeFill="accent4" w:themeFillShade="80"/>
          </w:tcPr>
          <w:p w:rsidR="00AE418E" w:rsidRDefault="00AE418E">
            <w:pPr>
              <w:rPr>
                <w:rFonts w:ascii="Tahoma" w:hAnsi="Tahoma" w:cs="Tahoma"/>
              </w:rPr>
            </w:pPr>
          </w:p>
        </w:tc>
      </w:tr>
      <w:tr w:rsidR="00AE418E" w:rsidTr="00A01EE7">
        <w:trPr>
          <w:cantSplit/>
          <w:trHeight w:val="1296"/>
        </w:trPr>
        <w:tc>
          <w:tcPr>
            <w:tcW w:w="1062" w:type="dxa"/>
            <w:shd w:val="clear" w:color="auto" w:fill="D6E3BC" w:themeFill="accent3" w:themeFillTint="66"/>
            <w:textDirection w:val="btLr"/>
          </w:tcPr>
          <w:p w:rsidR="00AE418E" w:rsidRDefault="00AE418E" w:rsidP="00107D02">
            <w:pPr>
              <w:ind w:left="113" w:right="113"/>
              <w:rPr>
                <w:rFonts w:ascii="Tahoma" w:hAnsi="Tahoma" w:cs="Tahoma"/>
              </w:rPr>
            </w:pPr>
            <w:r>
              <w:rPr>
                <w:rFonts w:ascii="Tahoma" w:hAnsi="Tahoma" w:cs="Tahoma"/>
                <w:noProof/>
                <w:lang w:eastAsia="en-GB"/>
              </w:rPr>
              <mc:AlternateContent>
                <mc:Choice Requires="wps">
                  <w:drawing>
                    <wp:anchor distT="0" distB="0" distL="114300" distR="114300" simplePos="0" relativeHeight="251691008" behindDoc="0" locked="0" layoutInCell="1" allowOverlap="1" wp14:anchorId="10FBAACA" wp14:editId="21D3CBA5">
                      <wp:simplePos x="0" y="0"/>
                      <wp:positionH relativeFrom="column">
                        <wp:posOffset>165735</wp:posOffset>
                      </wp:positionH>
                      <wp:positionV relativeFrom="paragraph">
                        <wp:posOffset>693420</wp:posOffset>
                      </wp:positionV>
                      <wp:extent cx="484505" cy="314325"/>
                      <wp:effectExtent l="38100" t="19050" r="10795" b="28575"/>
                      <wp:wrapNone/>
                      <wp:docPr id="2" name="Up Arrow 2"/>
                      <wp:cNvGraphicFramePr/>
                      <a:graphic xmlns:a="http://schemas.openxmlformats.org/drawingml/2006/main">
                        <a:graphicData uri="http://schemas.microsoft.com/office/word/2010/wordprocessingShape">
                          <wps:wsp>
                            <wps:cNvSpPr/>
                            <wps:spPr>
                              <a:xfrm>
                                <a:off x="0" y="0"/>
                                <a:ext cx="484505" cy="314325"/>
                              </a:xfrm>
                              <a:prstGeom prst="upArrow">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Up Arrow 2" o:spid="_x0000_s1026" type="#_x0000_t68" style="position:absolute;margin-left:13.05pt;margin-top:54.6pt;width:38.15pt;height:24.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" adj="10800" fillcolor="#eaf1dd [662]" strokecolor="#243f60 [1604]" strokeweight="2pt"/>
                  </w:pict>
                </mc:Fallback>
              </mc:AlternateContent>
            </w:r>
            <w:r>
              <w:rPr>
                <w:rFonts w:ascii="Tahoma" w:hAnsi="Tahoma" w:cs="Tahoma"/>
                <w:noProof/>
                <w:lang w:eastAsia="en-GB"/>
              </w:rPr>
              <mc:AlternateContent>
                <mc:Choice Requires="wps">
                  <w:drawing>
                    <wp:anchor distT="0" distB="0" distL="114300" distR="114300" simplePos="0" relativeHeight="251693056" behindDoc="0" locked="0" layoutInCell="1" allowOverlap="1" wp14:anchorId="491C5D2C" wp14:editId="602F4875">
                      <wp:simplePos x="0" y="0"/>
                      <wp:positionH relativeFrom="column">
                        <wp:posOffset>166370</wp:posOffset>
                      </wp:positionH>
                      <wp:positionV relativeFrom="paragraph">
                        <wp:posOffset>689037</wp:posOffset>
                      </wp:positionV>
                      <wp:extent cx="484505" cy="314325"/>
                      <wp:effectExtent l="38100" t="19050" r="10795" b="28575"/>
                      <wp:wrapNone/>
                      <wp:docPr id="5" name="Up Arrow 5"/>
                      <wp:cNvGraphicFramePr/>
                      <a:graphic xmlns:a="http://schemas.openxmlformats.org/drawingml/2006/main">
                        <a:graphicData uri="http://schemas.microsoft.com/office/word/2010/wordprocessingShape">
                          <wps:wsp>
                            <wps:cNvSpPr/>
                            <wps:spPr>
                              <a:xfrm>
                                <a:off x="0" y="0"/>
                                <a:ext cx="484505" cy="314325"/>
                              </a:xfrm>
                              <a:prstGeom prst="upArrow">
                                <a:avLst/>
                              </a:prstGeom>
                              <a:solidFill>
                                <a:srgbClr val="9BBB59">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Up Arrow 5" o:spid="_x0000_s1026" type="#_x0000_t68" style="position:absolute;margin-left:13.1pt;margin-top:54.25pt;width:38.15pt;height:24.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" adj="10800" fillcolor="#ebf1de" strokecolor="#385d8a" strokeweight="2pt"/>
                  </w:pict>
                </mc:Fallback>
              </mc:AlternateContent>
            </w:r>
            <w:r>
              <w:rPr>
                <w:rFonts w:ascii="Tahoma" w:hAnsi="Tahoma" w:cs="Tahoma"/>
              </w:rPr>
              <w:t xml:space="preserve">NATIONAL </w:t>
            </w:r>
          </w:p>
        </w:tc>
        <w:tc>
          <w:tcPr>
            <w:tcW w:w="4924" w:type="dxa"/>
            <w:gridSpan w:val="4"/>
            <w:shd w:val="clear" w:color="auto" w:fill="D6E3BC" w:themeFill="accent3" w:themeFillTint="66"/>
          </w:tcPr>
          <w:p w:rsidR="00AE418E" w:rsidRDefault="00AE418E">
            <w:pPr>
              <w:rPr>
                <w:rFonts w:ascii="Tahoma" w:hAnsi="Tahoma" w:cs="Tahoma"/>
              </w:rPr>
            </w:pPr>
            <w:r>
              <w:rPr>
                <w:rFonts w:ascii="Tahoma" w:hAnsi="Tahoma" w:cs="Tahoma"/>
              </w:rPr>
              <w:t xml:space="preserve">National SRHR Policies advocated for by the focal networks  of the Alliance  </w:t>
            </w:r>
          </w:p>
        </w:tc>
        <w:tc>
          <w:tcPr>
            <w:tcW w:w="600" w:type="dxa"/>
            <w:vMerge/>
            <w:shd w:val="clear" w:color="auto" w:fill="E5DFEC" w:themeFill="accent4" w:themeFillTint="33"/>
          </w:tcPr>
          <w:p w:rsidR="00AE418E" w:rsidRDefault="00AE418E">
            <w:pPr>
              <w:rPr>
                <w:rFonts w:ascii="Tahoma" w:hAnsi="Tahoma" w:cs="Tahoma"/>
              </w:rPr>
            </w:pPr>
          </w:p>
        </w:tc>
        <w:tc>
          <w:tcPr>
            <w:tcW w:w="563" w:type="dxa"/>
            <w:vMerge/>
            <w:shd w:val="clear" w:color="auto" w:fill="CCC0D9" w:themeFill="accent4" w:themeFillTint="66"/>
          </w:tcPr>
          <w:p w:rsidR="00AE418E" w:rsidRDefault="00AE418E">
            <w:pPr>
              <w:rPr>
                <w:rFonts w:ascii="Tahoma" w:hAnsi="Tahoma" w:cs="Tahoma"/>
              </w:rPr>
            </w:pPr>
          </w:p>
        </w:tc>
        <w:tc>
          <w:tcPr>
            <w:tcW w:w="551" w:type="dxa"/>
            <w:vMerge/>
            <w:shd w:val="clear" w:color="auto" w:fill="B2A1C7" w:themeFill="accent4" w:themeFillTint="99"/>
          </w:tcPr>
          <w:p w:rsidR="00AE418E" w:rsidRDefault="00AE418E">
            <w:pPr>
              <w:rPr>
                <w:rFonts w:ascii="Tahoma" w:hAnsi="Tahoma" w:cs="Tahoma"/>
              </w:rPr>
            </w:pPr>
          </w:p>
        </w:tc>
        <w:tc>
          <w:tcPr>
            <w:tcW w:w="495" w:type="dxa"/>
            <w:vMerge/>
            <w:shd w:val="clear" w:color="auto" w:fill="8064A2" w:themeFill="accent4"/>
          </w:tcPr>
          <w:p w:rsidR="00AE418E" w:rsidRDefault="00AE418E">
            <w:pPr>
              <w:rPr>
                <w:rFonts w:ascii="Tahoma" w:hAnsi="Tahoma" w:cs="Tahoma"/>
              </w:rPr>
            </w:pPr>
          </w:p>
        </w:tc>
        <w:tc>
          <w:tcPr>
            <w:tcW w:w="495" w:type="dxa"/>
            <w:vMerge/>
            <w:shd w:val="clear" w:color="auto" w:fill="403152" w:themeFill="accent4" w:themeFillShade="80"/>
          </w:tcPr>
          <w:p w:rsidR="00AE418E" w:rsidRDefault="00AE418E">
            <w:pPr>
              <w:rPr>
                <w:rFonts w:ascii="Tahoma" w:hAnsi="Tahoma" w:cs="Tahoma"/>
              </w:rPr>
            </w:pPr>
          </w:p>
        </w:tc>
      </w:tr>
      <w:tr w:rsidR="00AE418E" w:rsidTr="00A01EE7">
        <w:tc>
          <w:tcPr>
            <w:tcW w:w="1062" w:type="dxa"/>
            <w:vMerge w:val="restart"/>
            <w:shd w:val="clear" w:color="auto" w:fill="EAF1DD" w:themeFill="accent3" w:themeFillTint="33"/>
            <w:textDirection w:val="btLr"/>
          </w:tcPr>
          <w:p w:rsidR="00AE418E" w:rsidRDefault="00AE418E" w:rsidP="00107D02">
            <w:pPr>
              <w:ind w:left="113" w:right="113"/>
              <w:rPr>
                <w:rFonts w:ascii="Tahoma" w:hAnsi="Tahoma" w:cs="Tahoma"/>
              </w:rPr>
            </w:pPr>
            <w:r>
              <w:rPr>
                <w:rFonts w:ascii="Tahoma" w:hAnsi="Tahoma" w:cs="Tahoma"/>
              </w:rPr>
              <w:t xml:space="preserve">LOCAL </w:t>
            </w:r>
          </w:p>
        </w:tc>
        <w:tc>
          <w:tcPr>
            <w:tcW w:w="4924" w:type="dxa"/>
            <w:gridSpan w:val="4"/>
            <w:shd w:val="clear" w:color="auto" w:fill="EAF1DD" w:themeFill="accent3" w:themeFillTint="33"/>
          </w:tcPr>
          <w:p w:rsidR="00AE418E" w:rsidRDefault="00AE418E">
            <w:pPr>
              <w:rPr>
                <w:rFonts w:ascii="Tahoma" w:hAnsi="Tahoma" w:cs="Tahoma"/>
              </w:rPr>
            </w:pPr>
            <w:r>
              <w:rPr>
                <w:rFonts w:ascii="Tahoma" w:hAnsi="Tahoma" w:cs="Tahoma"/>
              </w:rPr>
              <w:t xml:space="preserve">425 Centres of Excellence for Gender and Local Government </w:t>
            </w:r>
          </w:p>
        </w:tc>
        <w:tc>
          <w:tcPr>
            <w:tcW w:w="600" w:type="dxa"/>
            <w:vMerge/>
            <w:shd w:val="clear" w:color="auto" w:fill="E5DFEC" w:themeFill="accent4" w:themeFillTint="33"/>
          </w:tcPr>
          <w:p w:rsidR="00AE418E" w:rsidRDefault="00AE418E">
            <w:pPr>
              <w:rPr>
                <w:rFonts w:ascii="Tahoma" w:hAnsi="Tahoma" w:cs="Tahoma"/>
              </w:rPr>
            </w:pPr>
          </w:p>
        </w:tc>
        <w:tc>
          <w:tcPr>
            <w:tcW w:w="563" w:type="dxa"/>
            <w:vMerge/>
            <w:shd w:val="clear" w:color="auto" w:fill="CCC0D9" w:themeFill="accent4" w:themeFillTint="66"/>
          </w:tcPr>
          <w:p w:rsidR="00AE418E" w:rsidRDefault="00AE418E">
            <w:pPr>
              <w:rPr>
                <w:rFonts w:ascii="Tahoma" w:hAnsi="Tahoma" w:cs="Tahoma"/>
              </w:rPr>
            </w:pPr>
          </w:p>
        </w:tc>
        <w:tc>
          <w:tcPr>
            <w:tcW w:w="551" w:type="dxa"/>
            <w:vMerge/>
            <w:shd w:val="clear" w:color="auto" w:fill="B2A1C7" w:themeFill="accent4" w:themeFillTint="99"/>
          </w:tcPr>
          <w:p w:rsidR="00AE418E" w:rsidRDefault="00AE418E">
            <w:pPr>
              <w:rPr>
                <w:rFonts w:ascii="Tahoma" w:hAnsi="Tahoma" w:cs="Tahoma"/>
              </w:rPr>
            </w:pPr>
          </w:p>
        </w:tc>
        <w:tc>
          <w:tcPr>
            <w:tcW w:w="495" w:type="dxa"/>
            <w:vMerge/>
            <w:shd w:val="clear" w:color="auto" w:fill="8064A2" w:themeFill="accent4"/>
          </w:tcPr>
          <w:p w:rsidR="00AE418E" w:rsidRDefault="00AE418E">
            <w:pPr>
              <w:rPr>
                <w:rFonts w:ascii="Tahoma" w:hAnsi="Tahoma" w:cs="Tahoma"/>
              </w:rPr>
            </w:pPr>
          </w:p>
        </w:tc>
        <w:tc>
          <w:tcPr>
            <w:tcW w:w="495" w:type="dxa"/>
            <w:vMerge/>
            <w:shd w:val="clear" w:color="auto" w:fill="403152" w:themeFill="accent4" w:themeFillShade="80"/>
          </w:tcPr>
          <w:p w:rsidR="00AE418E" w:rsidRDefault="00AE418E">
            <w:pPr>
              <w:rPr>
                <w:rFonts w:ascii="Tahoma" w:hAnsi="Tahoma" w:cs="Tahoma"/>
              </w:rPr>
            </w:pPr>
          </w:p>
        </w:tc>
      </w:tr>
      <w:tr w:rsidR="00AE418E" w:rsidTr="00A01EE7">
        <w:tc>
          <w:tcPr>
            <w:tcW w:w="1062" w:type="dxa"/>
            <w:vMerge/>
            <w:shd w:val="clear" w:color="auto" w:fill="EAF1DD" w:themeFill="accent3" w:themeFillTint="33"/>
          </w:tcPr>
          <w:p w:rsidR="00AE418E" w:rsidRDefault="00AE418E">
            <w:pPr>
              <w:rPr>
                <w:rFonts w:ascii="Tahoma" w:hAnsi="Tahoma" w:cs="Tahoma"/>
              </w:rPr>
            </w:pPr>
          </w:p>
        </w:tc>
        <w:tc>
          <w:tcPr>
            <w:tcW w:w="1181" w:type="dxa"/>
            <w:shd w:val="clear" w:color="auto" w:fill="EAF1DD" w:themeFill="accent3" w:themeFillTint="33"/>
          </w:tcPr>
          <w:p w:rsidR="00AE418E" w:rsidRDefault="00AE418E">
            <w:pPr>
              <w:rPr>
                <w:rFonts w:ascii="Tahoma" w:hAnsi="Tahoma" w:cs="Tahoma"/>
              </w:rPr>
            </w:pPr>
            <w:r>
              <w:rPr>
                <w:rFonts w:ascii="Tahoma" w:hAnsi="Tahoma" w:cs="Tahoma"/>
              </w:rPr>
              <w:t xml:space="preserve">Clinics </w:t>
            </w:r>
          </w:p>
        </w:tc>
        <w:tc>
          <w:tcPr>
            <w:tcW w:w="1414" w:type="dxa"/>
            <w:shd w:val="clear" w:color="auto" w:fill="EAF1DD" w:themeFill="accent3" w:themeFillTint="33"/>
          </w:tcPr>
          <w:p w:rsidR="00AE418E" w:rsidRDefault="00AE418E">
            <w:pPr>
              <w:rPr>
                <w:rFonts w:ascii="Tahoma" w:hAnsi="Tahoma" w:cs="Tahoma"/>
              </w:rPr>
            </w:pPr>
            <w:r>
              <w:rPr>
                <w:rFonts w:ascii="Tahoma" w:hAnsi="Tahoma" w:cs="Tahoma"/>
              </w:rPr>
              <w:t xml:space="preserve">Schools </w:t>
            </w:r>
          </w:p>
        </w:tc>
        <w:tc>
          <w:tcPr>
            <w:tcW w:w="1647" w:type="dxa"/>
            <w:shd w:val="clear" w:color="auto" w:fill="EAF1DD" w:themeFill="accent3" w:themeFillTint="33"/>
          </w:tcPr>
          <w:p w:rsidR="00AE418E" w:rsidRDefault="00AE418E">
            <w:pPr>
              <w:rPr>
                <w:rFonts w:ascii="Tahoma" w:hAnsi="Tahoma" w:cs="Tahoma"/>
              </w:rPr>
            </w:pPr>
            <w:r>
              <w:rPr>
                <w:rFonts w:ascii="Tahoma" w:hAnsi="Tahoma" w:cs="Tahoma"/>
              </w:rPr>
              <w:t xml:space="preserve">Communities </w:t>
            </w:r>
          </w:p>
        </w:tc>
        <w:tc>
          <w:tcPr>
            <w:tcW w:w="682" w:type="dxa"/>
            <w:shd w:val="clear" w:color="auto" w:fill="EAF1DD" w:themeFill="accent3" w:themeFillTint="33"/>
          </w:tcPr>
          <w:p w:rsidR="00AE418E" w:rsidRDefault="00AE418E">
            <w:pPr>
              <w:rPr>
                <w:rFonts w:ascii="Tahoma" w:hAnsi="Tahoma" w:cs="Tahoma"/>
              </w:rPr>
            </w:pPr>
            <w:r>
              <w:rPr>
                <w:rFonts w:ascii="Tahoma" w:hAnsi="Tahoma" w:cs="Tahoma"/>
              </w:rPr>
              <w:t xml:space="preserve">ICTS </w:t>
            </w:r>
          </w:p>
        </w:tc>
        <w:tc>
          <w:tcPr>
            <w:tcW w:w="600" w:type="dxa"/>
            <w:vMerge/>
            <w:shd w:val="clear" w:color="auto" w:fill="E5DFEC" w:themeFill="accent4" w:themeFillTint="33"/>
          </w:tcPr>
          <w:p w:rsidR="00AE418E" w:rsidRDefault="00AE418E">
            <w:pPr>
              <w:rPr>
                <w:rFonts w:ascii="Tahoma" w:hAnsi="Tahoma" w:cs="Tahoma"/>
              </w:rPr>
            </w:pPr>
          </w:p>
        </w:tc>
        <w:tc>
          <w:tcPr>
            <w:tcW w:w="563" w:type="dxa"/>
            <w:vMerge/>
            <w:shd w:val="clear" w:color="auto" w:fill="CCC0D9" w:themeFill="accent4" w:themeFillTint="66"/>
          </w:tcPr>
          <w:p w:rsidR="00AE418E" w:rsidRDefault="00AE418E">
            <w:pPr>
              <w:rPr>
                <w:rFonts w:ascii="Tahoma" w:hAnsi="Tahoma" w:cs="Tahoma"/>
              </w:rPr>
            </w:pPr>
          </w:p>
        </w:tc>
        <w:tc>
          <w:tcPr>
            <w:tcW w:w="551" w:type="dxa"/>
            <w:vMerge/>
            <w:shd w:val="clear" w:color="auto" w:fill="B2A1C7" w:themeFill="accent4" w:themeFillTint="99"/>
          </w:tcPr>
          <w:p w:rsidR="00AE418E" w:rsidRDefault="00AE418E">
            <w:pPr>
              <w:rPr>
                <w:rFonts w:ascii="Tahoma" w:hAnsi="Tahoma" w:cs="Tahoma"/>
              </w:rPr>
            </w:pPr>
          </w:p>
        </w:tc>
        <w:tc>
          <w:tcPr>
            <w:tcW w:w="495" w:type="dxa"/>
            <w:vMerge/>
            <w:shd w:val="clear" w:color="auto" w:fill="8064A2" w:themeFill="accent4"/>
          </w:tcPr>
          <w:p w:rsidR="00AE418E" w:rsidRDefault="00AE418E">
            <w:pPr>
              <w:rPr>
                <w:rFonts w:ascii="Tahoma" w:hAnsi="Tahoma" w:cs="Tahoma"/>
              </w:rPr>
            </w:pPr>
          </w:p>
        </w:tc>
        <w:tc>
          <w:tcPr>
            <w:tcW w:w="495" w:type="dxa"/>
            <w:vMerge/>
            <w:shd w:val="clear" w:color="auto" w:fill="403152" w:themeFill="accent4" w:themeFillShade="80"/>
          </w:tcPr>
          <w:p w:rsidR="00AE418E" w:rsidRDefault="00AE418E">
            <w:pPr>
              <w:rPr>
                <w:rFonts w:ascii="Tahoma" w:hAnsi="Tahoma" w:cs="Tahoma"/>
              </w:rPr>
            </w:pPr>
          </w:p>
        </w:tc>
      </w:tr>
      <w:tr w:rsidR="00AE418E" w:rsidTr="00A01EE7">
        <w:trPr>
          <w:trHeight w:val="807"/>
        </w:trPr>
        <w:tc>
          <w:tcPr>
            <w:tcW w:w="1062" w:type="dxa"/>
            <w:vMerge/>
            <w:shd w:val="clear" w:color="auto" w:fill="EAF1DD" w:themeFill="accent3" w:themeFillTint="33"/>
          </w:tcPr>
          <w:p w:rsidR="00AE418E" w:rsidRDefault="00AE418E">
            <w:pPr>
              <w:rPr>
                <w:rFonts w:ascii="Tahoma" w:hAnsi="Tahoma" w:cs="Tahoma"/>
              </w:rPr>
            </w:pPr>
          </w:p>
        </w:tc>
        <w:tc>
          <w:tcPr>
            <w:tcW w:w="4924" w:type="dxa"/>
            <w:gridSpan w:val="4"/>
            <w:shd w:val="clear" w:color="auto" w:fill="EAF1DD" w:themeFill="accent3" w:themeFillTint="33"/>
          </w:tcPr>
          <w:p w:rsidR="00AE418E" w:rsidRDefault="00AE418E">
            <w:pPr>
              <w:rPr>
                <w:rFonts w:ascii="Tahoma" w:hAnsi="Tahoma" w:cs="Tahoma"/>
              </w:rPr>
            </w:pPr>
            <w:r>
              <w:rPr>
                <w:rFonts w:ascii="Tahoma" w:hAnsi="Tahoma" w:cs="Tahoma"/>
              </w:rPr>
              <w:t xml:space="preserve">Citizen engagement – youth, especially young women drive the change </w:t>
            </w:r>
          </w:p>
        </w:tc>
        <w:tc>
          <w:tcPr>
            <w:tcW w:w="600" w:type="dxa"/>
            <w:vMerge/>
            <w:shd w:val="clear" w:color="auto" w:fill="E5DFEC" w:themeFill="accent4" w:themeFillTint="33"/>
          </w:tcPr>
          <w:p w:rsidR="00AE418E" w:rsidRDefault="00AE418E">
            <w:pPr>
              <w:rPr>
                <w:rFonts w:ascii="Tahoma" w:hAnsi="Tahoma" w:cs="Tahoma"/>
              </w:rPr>
            </w:pPr>
          </w:p>
        </w:tc>
        <w:tc>
          <w:tcPr>
            <w:tcW w:w="563" w:type="dxa"/>
            <w:vMerge/>
            <w:shd w:val="clear" w:color="auto" w:fill="CCC0D9" w:themeFill="accent4" w:themeFillTint="66"/>
          </w:tcPr>
          <w:p w:rsidR="00AE418E" w:rsidRDefault="00AE418E">
            <w:pPr>
              <w:rPr>
                <w:rFonts w:ascii="Tahoma" w:hAnsi="Tahoma" w:cs="Tahoma"/>
              </w:rPr>
            </w:pPr>
          </w:p>
        </w:tc>
        <w:tc>
          <w:tcPr>
            <w:tcW w:w="551" w:type="dxa"/>
            <w:vMerge/>
            <w:shd w:val="clear" w:color="auto" w:fill="B2A1C7" w:themeFill="accent4" w:themeFillTint="99"/>
          </w:tcPr>
          <w:p w:rsidR="00AE418E" w:rsidRDefault="00AE418E">
            <w:pPr>
              <w:rPr>
                <w:rFonts w:ascii="Tahoma" w:hAnsi="Tahoma" w:cs="Tahoma"/>
              </w:rPr>
            </w:pPr>
          </w:p>
        </w:tc>
        <w:tc>
          <w:tcPr>
            <w:tcW w:w="495" w:type="dxa"/>
            <w:vMerge/>
            <w:shd w:val="clear" w:color="auto" w:fill="8064A2" w:themeFill="accent4"/>
          </w:tcPr>
          <w:p w:rsidR="00AE418E" w:rsidRDefault="00AE418E">
            <w:pPr>
              <w:rPr>
                <w:rFonts w:ascii="Tahoma" w:hAnsi="Tahoma" w:cs="Tahoma"/>
              </w:rPr>
            </w:pPr>
          </w:p>
        </w:tc>
        <w:tc>
          <w:tcPr>
            <w:tcW w:w="495" w:type="dxa"/>
            <w:vMerge/>
            <w:shd w:val="clear" w:color="auto" w:fill="403152" w:themeFill="accent4" w:themeFillShade="80"/>
          </w:tcPr>
          <w:p w:rsidR="00AE418E" w:rsidRDefault="00AE418E">
            <w:pPr>
              <w:rPr>
                <w:rFonts w:ascii="Tahoma" w:hAnsi="Tahoma" w:cs="Tahoma"/>
              </w:rPr>
            </w:pPr>
          </w:p>
        </w:tc>
      </w:tr>
    </w:tbl>
    <w:p w:rsidR="00554AC7" w:rsidRPr="007D72FE" w:rsidRDefault="00554AC7">
      <w:pPr>
        <w:rPr>
          <w:rFonts w:ascii="Tahoma" w:hAnsi="Tahoma" w:cs="Tahoma"/>
        </w:rPr>
      </w:pPr>
    </w:p>
    <w:p w:rsidR="00812902" w:rsidRDefault="001E03E4" w:rsidP="00E610EF">
      <w:pPr>
        <w:spacing w:after="0" w:line="240" w:lineRule="auto"/>
        <w:jc w:val="both"/>
        <w:rPr>
          <w:rFonts w:ascii="Tahoma" w:hAnsi="Tahoma" w:cs="Tahoma"/>
        </w:rPr>
      </w:pPr>
      <w:r w:rsidRPr="00812902">
        <w:rPr>
          <w:rFonts w:ascii="Tahoma" w:hAnsi="Tahoma" w:cs="Tahoma"/>
        </w:rPr>
        <w:lastRenderedPageBreak/>
        <w:t xml:space="preserve">GL’s proposed extension to the Network Grant is called </w:t>
      </w:r>
      <w:r w:rsidRPr="00812902">
        <w:rPr>
          <w:rFonts w:ascii="Tahoma" w:hAnsi="Tahoma" w:cs="Tahoma"/>
          <w:b/>
        </w:rPr>
        <w:t>#</w:t>
      </w:r>
      <w:proofErr w:type="spellStart"/>
      <w:r w:rsidRPr="00812902">
        <w:rPr>
          <w:rFonts w:ascii="Tahoma" w:hAnsi="Tahoma" w:cs="Tahoma"/>
          <w:b/>
        </w:rPr>
        <w:t>SheDecides</w:t>
      </w:r>
      <w:proofErr w:type="spellEnd"/>
      <w:r w:rsidRPr="00812902">
        <w:rPr>
          <w:rFonts w:ascii="Tahoma" w:hAnsi="Tahoma" w:cs="Tahoma"/>
          <w:b/>
        </w:rPr>
        <w:t>:</w:t>
      </w:r>
      <w:r w:rsidR="00812902" w:rsidRPr="00812902">
        <w:rPr>
          <w:rFonts w:ascii="Tahoma" w:hAnsi="Tahoma" w:cs="Tahoma"/>
          <w:b/>
        </w:rPr>
        <w:t xml:space="preserve"> Strengthening SRHR Networks and Campaigns in Southern Africa.</w:t>
      </w:r>
      <w:r w:rsidR="00812902" w:rsidRPr="00812902">
        <w:rPr>
          <w:rFonts w:ascii="Tahoma" w:hAnsi="Tahoma" w:cs="Tahoma"/>
        </w:rPr>
        <w:t xml:space="preserve"> </w:t>
      </w:r>
      <w:r w:rsidRPr="00812902">
        <w:rPr>
          <w:rFonts w:ascii="Tahoma" w:hAnsi="Tahoma" w:cs="Tahoma"/>
        </w:rPr>
        <w:t xml:space="preserve"> </w:t>
      </w:r>
      <w:r w:rsidR="00812902">
        <w:rPr>
          <w:rFonts w:ascii="Tahoma" w:hAnsi="Tahoma" w:cs="Tahoma"/>
        </w:rPr>
        <w:t>The initiative builds on the global momentum of the #</w:t>
      </w:r>
      <w:proofErr w:type="spellStart"/>
      <w:proofErr w:type="gramStart"/>
      <w:r w:rsidR="00812902">
        <w:rPr>
          <w:rFonts w:ascii="Tahoma" w:hAnsi="Tahoma" w:cs="Tahoma"/>
        </w:rPr>
        <w:t>MeToo</w:t>
      </w:r>
      <w:proofErr w:type="spellEnd"/>
      <w:proofErr w:type="gramEnd"/>
      <w:r w:rsidR="00812902">
        <w:rPr>
          <w:rFonts w:ascii="Tahoma" w:hAnsi="Tahoma" w:cs="Tahoma"/>
        </w:rPr>
        <w:t>, #</w:t>
      </w:r>
      <w:proofErr w:type="spellStart"/>
      <w:r w:rsidR="00812902">
        <w:rPr>
          <w:rFonts w:ascii="Tahoma" w:hAnsi="Tahoma" w:cs="Tahoma"/>
        </w:rPr>
        <w:t>TimesUp</w:t>
      </w:r>
      <w:proofErr w:type="spellEnd"/>
      <w:r w:rsidR="00812902">
        <w:rPr>
          <w:rFonts w:ascii="Tahoma" w:hAnsi="Tahoma" w:cs="Tahoma"/>
        </w:rPr>
        <w:t xml:space="preserve"> campaign, and in Southern Africa </w:t>
      </w:r>
      <w:r w:rsidR="00A61521">
        <w:rPr>
          <w:rFonts w:ascii="Tahoma" w:hAnsi="Tahoma" w:cs="Tahoma"/>
        </w:rPr>
        <w:t>the #MenAreTrash, #</w:t>
      </w:r>
      <w:proofErr w:type="spellStart"/>
      <w:r w:rsidR="00A61521">
        <w:rPr>
          <w:rFonts w:ascii="Tahoma" w:hAnsi="Tahoma" w:cs="Tahoma"/>
        </w:rPr>
        <w:t>NotinMy</w:t>
      </w:r>
      <w:r w:rsidR="00525336">
        <w:rPr>
          <w:rFonts w:ascii="Tahoma" w:hAnsi="Tahoma" w:cs="Tahoma"/>
        </w:rPr>
        <w:t>Name</w:t>
      </w:r>
      <w:proofErr w:type="spellEnd"/>
      <w:r w:rsidR="00525336">
        <w:rPr>
          <w:rFonts w:ascii="Tahoma" w:hAnsi="Tahoma" w:cs="Tahoma"/>
        </w:rPr>
        <w:t>,</w:t>
      </w:r>
      <w:r w:rsidR="00A61521">
        <w:rPr>
          <w:rFonts w:ascii="Tahoma" w:hAnsi="Tahoma" w:cs="Tahoma"/>
        </w:rPr>
        <w:t xml:space="preserve"> #</w:t>
      </w:r>
      <w:proofErr w:type="spellStart"/>
      <w:r w:rsidR="00A61521">
        <w:rPr>
          <w:rFonts w:ascii="Tahoma" w:hAnsi="Tahoma" w:cs="Tahoma"/>
        </w:rPr>
        <w:t>JusticeForKarabo</w:t>
      </w:r>
      <w:proofErr w:type="spellEnd"/>
      <w:r w:rsidR="00525336">
        <w:rPr>
          <w:rFonts w:ascii="Tahoma" w:hAnsi="Tahoma" w:cs="Tahoma"/>
        </w:rPr>
        <w:t xml:space="preserve"> #</w:t>
      </w:r>
      <w:proofErr w:type="spellStart"/>
      <w:r w:rsidR="00525336">
        <w:rPr>
          <w:rFonts w:ascii="Tahoma" w:hAnsi="Tahoma" w:cs="Tahoma"/>
        </w:rPr>
        <w:t>IWearWhatILike</w:t>
      </w:r>
      <w:proofErr w:type="spellEnd"/>
      <w:r w:rsidR="00525336">
        <w:rPr>
          <w:rFonts w:ascii="Tahoma" w:hAnsi="Tahoma" w:cs="Tahoma"/>
        </w:rPr>
        <w:t xml:space="preserve"> and other campaigns, that have come together under the umbrella of the #</w:t>
      </w:r>
      <w:proofErr w:type="spellStart"/>
      <w:r w:rsidR="00525336">
        <w:rPr>
          <w:rFonts w:ascii="Tahoma" w:hAnsi="Tahoma" w:cs="Tahoma"/>
        </w:rPr>
        <w:t>SheDecides</w:t>
      </w:r>
      <w:proofErr w:type="spellEnd"/>
      <w:r w:rsidR="00525336">
        <w:rPr>
          <w:rFonts w:ascii="Tahoma" w:hAnsi="Tahoma" w:cs="Tahoma"/>
        </w:rPr>
        <w:t xml:space="preserve"> campaign. SAFAIDS as cluster lead, and GL as coordinator of the Allianc</w:t>
      </w:r>
      <w:r w:rsidR="00A61521">
        <w:rPr>
          <w:rFonts w:ascii="Tahoma" w:hAnsi="Tahoma" w:cs="Tahoma"/>
        </w:rPr>
        <w:t>e, propose</w:t>
      </w:r>
      <w:r w:rsidR="00525336">
        <w:rPr>
          <w:rFonts w:ascii="Tahoma" w:hAnsi="Tahoma" w:cs="Tahoma"/>
        </w:rPr>
        <w:t xml:space="preserve"> to launch the #</w:t>
      </w:r>
      <w:proofErr w:type="spellStart"/>
      <w:r w:rsidR="00525336">
        <w:rPr>
          <w:rFonts w:ascii="Tahoma" w:hAnsi="Tahoma" w:cs="Tahoma"/>
        </w:rPr>
        <w:t>SheDecidesSouthernAfrica</w:t>
      </w:r>
      <w:proofErr w:type="spellEnd"/>
      <w:r w:rsidR="00525336">
        <w:rPr>
          <w:rFonts w:ascii="Tahoma" w:hAnsi="Tahoma" w:cs="Tahoma"/>
        </w:rPr>
        <w:t xml:space="preserve"> campaign, to press home the gains in the last few years, through strategic communication campaigns that have targets, indicators, and regularly publish results. Key </w:t>
      </w:r>
      <w:r w:rsidR="00AB1EB8">
        <w:rPr>
          <w:rFonts w:ascii="Tahoma" w:hAnsi="Tahoma" w:cs="Tahoma"/>
        </w:rPr>
        <w:t xml:space="preserve">inter- linked </w:t>
      </w:r>
      <w:r w:rsidR="00525336">
        <w:rPr>
          <w:rFonts w:ascii="Tahoma" w:hAnsi="Tahoma" w:cs="Tahoma"/>
        </w:rPr>
        <w:t xml:space="preserve">campaigns identified include </w:t>
      </w:r>
      <w:r w:rsidR="00A61521">
        <w:rPr>
          <w:rFonts w:ascii="Tahoma" w:hAnsi="Tahoma" w:cs="Tahoma"/>
        </w:rPr>
        <w:t xml:space="preserve">resurgence of HIV and AIDS among young women; </w:t>
      </w:r>
      <w:r w:rsidR="00525336">
        <w:rPr>
          <w:rFonts w:ascii="Tahoma" w:hAnsi="Tahoma" w:cs="Tahoma"/>
        </w:rPr>
        <w:t xml:space="preserve">menstrual health; teenage pregnancies, unsafe abortion; </w:t>
      </w:r>
      <w:r w:rsidR="00AB1EB8">
        <w:rPr>
          <w:rFonts w:ascii="Tahoma" w:hAnsi="Tahoma" w:cs="Tahoma"/>
        </w:rPr>
        <w:t xml:space="preserve">child marriages; Comprehensive Sexual Education in Schools; </w:t>
      </w:r>
      <w:r w:rsidR="00A61521">
        <w:rPr>
          <w:rFonts w:ascii="Tahoma" w:hAnsi="Tahoma" w:cs="Tahoma"/>
        </w:rPr>
        <w:t xml:space="preserve">and </w:t>
      </w:r>
      <w:r w:rsidR="00AB1EB8">
        <w:rPr>
          <w:rFonts w:ascii="Tahoma" w:hAnsi="Tahoma" w:cs="Tahoma"/>
        </w:rPr>
        <w:t xml:space="preserve">decriminalisation of homosexuality. These will be accompanied by: </w:t>
      </w:r>
      <w:r w:rsidR="00525336">
        <w:rPr>
          <w:rFonts w:ascii="Tahoma" w:hAnsi="Tahoma" w:cs="Tahoma"/>
        </w:rPr>
        <w:t xml:space="preserve"> </w:t>
      </w:r>
    </w:p>
    <w:p w:rsidR="00812902" w:rsidRPr="00E610EF" w:rsidRDefault="00812902" w:rsidP="00E610EF">
      <w:pPr>
        <w:pStyle w:val="ListParagraph"/>
        <w:numPr>
          <w:ilvl w:val="0"/>
          <w:numId w:val="4"/>
        </w:numPr>
        <w:spacing w:after="0" w:line="240" w:lineRule="auto"/>
        <w:jc w:val="both"/>
        <w:rPr>
          <w:rFonts w:ascii="Tahoma" w:hAnsi="Tahoma" w:cs="Tahoma"/>
          <w:i/>
        </w:rPr>
      </w:pPr>
      <w:r w:rsidRPr="00E610EF">
        <w:rPr>
          <w:rFonts w:ascii="Tahoma" w:hAnsi="Tahoma" w:cs="Tahoma"/>
          <w:i/>
        </w:rPr>
        <w:t>Network strengthening</w:t>
      </w:r>
      <w:r w:rsidRPr="00AB1EB8">
        <w:rPr>
          <w:rFonts w:ascii="Tahoma" w:hAnsi="Tahoma" w:cs="Tahoma"/>
        </w:rPr>
        <w:t xml:space="preserve"> – through </w:t>
      </w:r>
      <w:r w:rsidR="00A61521">
        <w:rPr>
          <w:rFonts w:ascii="Tahoma" w:hAnsi="Tahoma" w:cs="Tahoma"/>
        </w:rPr>
        <w:t xml:space="preserve">building </w:t>
      </w:r>
      <w:r w:rsidR="002E0042">
        <w:rPr>
          <w:rFonts w:ascii="Tahoma" w:hAnsi="Tahoma" w:cs="Tahoma"/>
        </w:rPr>
        <w:t>the organisational capacity of small network members</w:t>
      </w:r>
      <w:r w:rsidR="00A61521">
        <w:rPr>
          <w:rFonts w:ascii="Tahoma" w:hAnsi="Tahoma" w:cs="Tahoma"/>
        </w:rPr>
        <w:t xml:space="preserve"> (one in each country)</w:t>
      </w:r>
      <w:r w:rsidR="002E0042">
        <w:rPr>
          <w:rFonts w:ascii="Tahoma" w:hAnsi="Tahoma" w:cs="Tahoma"/>
        </w:rPr>
        <w:t xml:space="preserve">; </w:t>
      </w:r>
      <w:r w:rsidR="00AB1EB8" w:rsidRPr="00AB1EB8">
        <w:rPr>
          <w:rFonts w:ascii="Tahoma" w:hAnsi="Tahoma" w:cs="Tahoma"/>
        </w:rPr>
        <w:t xml:space="preserve">further </w:t>
      </w:r>
      <w:r w:rsidRPr="00AB1EB8">
        <w:rPr>
          <w:rFonts w:ascii="Tahoma" w:hAnsi="Tahoma" w:cs="Tahoma"/>
        </w:rPr>
        <w:t xml:space="preserve">work on </w:t>
      </w:r>
      <w:r w:rsidRPr="00E610EF">
        <w:rPr>
          <w:rFonts w:ascii="Tahoma" w:hAnsi="Tahoma" w:cs="Tahoma"/>
          <w:i/>
        </w:rPr>
        <w:t xml:space="preserve">the </w:t>
      </w:r>
      <w:proofErr w:type="spellStart"/>
      <w:r w:rsidRPr="00E610EF">
        <w:rPr>
          <w:rFonts w:ascii="Tahoma" w:hAnsi="Tahoma" w:cs="Tahoma"/>
          <w:i/>
        </w:rPr>
        <w:t>LGBTI</w:t>
      </w:r>
      <w:proofErr w:type="spellEnd"/>
      <w:r w:rsidRPr="00E610EF">
        <w:rPr>
          <w:rFonts w:ascii="Tahoma" w:hAnsi="Tahoma" w:cs="Tahoma"/>
          <w:i/>
        </w:rPr>
        <w:t xml:space="preserve"> sub</w:t>
      </w:r>
      <w:r w:rsidR="00A61521">
        <w:rPr>
          <w:rFonts w:ascii="Tahoma" w:hAnsi="Tahoma" w:cs="Tahoma"/>
          <w:i/>
        </w:rPr>
        <w:t>-</w:t>
      </w:r>
      <w:r w:rsidRPr="00E610EF">
        <w:rPr>
          <w:rFonts w:ascii="Tahoma" w:hAnsi="Tahoma" w:cs="Tahoma"/>
          <w:i/>
        </w:rPr>
        <w:t>group in the S</w:t>
      </w:r>
      <w:r w:rsidR="0066195F">
        <w:rPr>
          <w:rFonts w:ascii="Tahoma" w:hAnsi="Tahoma" w:cs="Tahoma"/>
          <w:i/>
        </w:rPr>
        <w:t>RHR cluster, and inclusion of Faith Based Organisations</w:t>
      </w:r>
      <w:r w:rsidR="0066195F">
        <w:rPr>
          <w:rFonts w:ascii="Tahoma" w:hAnsi="Tahoma" w:cs="Tahoma"/>
        </w:rPr>
        <w:t xml:space="preserve"> through our partnership with the ACT Alliance. </w:t>
      </w:r>
    </w:p>
    <w:p w:rsidR="00812902" w:rsidRPr="00AB1EB8" w:rsidRDefault="00812902" w:rsidP="00E610EF">
      <w:pPr>
        <w:pStyle w:val="ListParagraph"/>
        <w:numPr>
          <w:ilvl w:val="0"/>
          <w:numId w:val="4"/>
        </w:numPr>
        <w:spacing w:after="0" w:line="240" w:lineRule="auto"/>
        <w:jc w:val="both"/>
        <w:rPr>
          <w:rFonts w:ascii="Tahoma" w:hAnsi="Tahoma" w:cs="Tahoma"/>
        </w:rPr>
      </w:pPr>
      <w:r w:rsidRPr="00AB1EB8">
        <w:rPr>
          <w:rFonts w:ascii="Tahoma" w:hAnsi="Tahoma" w:cs="Tahoma"/>
        </w:rPr>
        <w:t xml:space="preserve">Strengthening advocacy through a </w:t>
      </w:r>
      <w:r w:rsidRPr="00E610EF">
        <w:rPr>
          <w:rFonts w:ascii="Tahoma" w:hAnsi="Tahoma" w:cs="Tahoma"/>
          <w:i/>
        </w:rPr>
        <w:t>Gender Responsive Budgeting (</w:t>
      </w:r>
      <w:proofErr w:type="spellStart"/>
      <w:r w:rsidRPr="00E610EF">
        <w:rPr>
          <w:rFonts w:ascii="Tahoma" w:hAnsi="Tahoma" w:cs="Tahoma"/>
          <w:i/>
        </w:rPr>
        <w:t>GRB</w:t>
      </w:r>
      <w:proofErr w:type="spellEnd"/>
      <w:r w:rsidRPr="00E610EF">
        <w:rPr>
          <w:rFonts w:ascii="Tahoma" w:hAnsi="Tahoma" w:cs="Tahoma"/>
          <w:i/>
        </w:rPr>
        <w:t>)</w:t>
      </w:r>
      <w:r w:rsidRPr="00AB1EB8">
        <w:rPr>
          <w:rFonts w:ascii="Tahoma" w:hAnsi="Tahoma" w:cs="Tahoma"/>
        </w:rPr>
        <w:t xml:space="preserve"> tracking initiative for SRHR; this will also complement the policy work in the strategic grant. </w:t>
      </w:r>
    </w:p>
    <w:p w:rsidR="00812902" w:rsidRDefault="00AB1EB8" w:rsidP="00E610EF">
      <w:pPr>
        <w:pStyle w:val="ListParagraph"/>
        <w:numPr>
          <w:ilvl w:val="0"/>
          <w:numId w:val="4"/>
        </w:numPr>
        <w:spacing w:after="0" w:line="240" w:lineRule="auto"/>
        <w:jc w:val="both"/>
        <w:rPr>
          <w:rFonts w:ascii="Tahoma" w:hAnsi="Tahoma" w:cs="Tahoma"/>
        </w:rPr>
      </w:pPr>
      <w:r w:rsidRPr="00AB1EB8">
        <w:rPr>
          <w:rFonts w:ascii="Tahoma" w:hAnsi="Tahoma" w:cs="Tahoma"/>
        </w:rPr>
        <w:t xml:space="preserve">Working through GL’s </w:t>
      </w:r>
      <w:r w:rsidRPr="00E610EF">
        <w:rPr>
          <w:rFonts w:ascii="Tahoma" w:hAnsi="Tahoma" w:cs="Tahoma"/>
          <w:i/>
        </w:rPr>
        <w:t xml:space="preserve">media </w:t>
      </w:r>
      <w:r w:rsidRPr="00AB1EB8">
        <w:rPr>
          <w:rFonts w:ascii="Tahoma" w:hAnsi="Tahoma" w:cs="Tahoma"/>
        </w:rPr>
        <w:t xml:space="preserve">COE’s to </w:t>
      </w:r>
      <w:r>
        <w:rPr>
          <w:rFonts w:ascii="Tahoma" w:hAnsi="Tahoma" w:cs="Tahoma"/>
        </w:rPr>
        <w:t xml:space="preserve">engage </w:t>
      </w:r>
      <w:r w:rsidRPr="00AB1EB8">
        <w:rPr>
          <w:rFonts w:ascii="Tahoma" w:hAnsi="Tahoma" w:cs="Tahoma"/>
        </w:rPr>
        <w:t xml:space="preserve">the media as </w:t>
      </w:r>
      <w:r>
        <w:rPr>
          <w:rFonts w:ascii="Tahoma" w:hAnsi="Tahoma" w:cs="Tahoma"/>
        </w:rPr>
        <w:t>a partner through practical training the yields</w:t>
      </w:r>
      <w:r w:rsidR="0066195F">
        <w:rPr>
          <w:rFonts w:ascii="Tahoma" w:hAnsi="Tahoma" w:cs="Tahoma"/>
        </w:rPr>
        <w:t xml:space="preserve"> in-depth coverage. </w:t>
      </w:r>
      <w:r>
        <w:rPr>
          <w:rFonts w:ascii="Tahoma" w:hAnsi="Tahoma" w:cs="Tahoma"/>
        </w:rPr>
        <w:t xml:space="preserve"> </w:t>
      </w:r>
      <w:r w:rsidRPr="00AB1EB8">
        <w:rPr>
          <w:rFonts w:ascii="Tahoma" w:hAnsi="Tahoma" w:cs="Tahoma"/>
        </w:rPr>
        <w:t xml:space="preserve"> </w:t>
      </w:r>
    </w:p>
    <w:p w:rsidR="00E610EF" w:rsidRDefault="0066195F" w:rsidP="00E610EF">
      <w:pPr>
        <w:pStyle w:val="ListParagraph"/>
        <w:numPr>
          <w:ilvl w:val="0"/>
          <w:numId w:val="4"/>
        </w:numPr>
        <w:spacing w:after="0" w:line="240" w:lineRule="auto"/>
        <w:jc w:val="both"/>
        <w:rPr>
          <w:rFonts w:ascii="Tahoma" w:hAnsi="Tahoma" w:cs="Tahoma"/>
        </w:rPr>
      </w:pPr>
      <w:r>
        <w:rPr>
          <w:rFonts w:ascii="Tahoma" w:hAnsi="Tahoma" w:cs="Tahoma"/>
        </w:rPr>
        <w:t xml:space="preserve">A strong Community of Practise that includes discussion groups, training and advocacy resources; and access to dynamic data bases. </w:t>
      </w:r>
    </w:p>
    <w:p w:rsidR="00E610EF" w:rsidRDefault="00E610EF" w:rsidP="00E610EF">
      <w:pPr>
        <w:spacing w:after="0" w:line="240" w:lineRule="auto"/>
        <w:jc w:val="both"/>
        <w:rPr>
          <w:rFonts w:ascii="Tahoma" w:hAnsi="Tahoma" w:cs="Tahoma"/>
        </w:rPr>
      </w:pPr>
    </w:p>
    <w:p w:rsidR="000E7149" w:rsidRDefault="00E610EF" w:rsidP="00E610EF">
      <w:pPr>
        <w:spacing w:after="0" w:line="240" w:lineRule="auto"/>
        <w:jc w:val="both"/>
        <w:rPr>
          <w:rFonts w:ascii="Tahoma" w:hAnsi="Tahoma" w:cs="Tahoma"/>
        </w:rPr>
      </w:pPr>
      <w:r>
        <w:rPr>
          <w:rFonts w:ascii="Tahoma" w:hAnsi="Tahoma" w:cs="Tahoma"/>
        </w:rPr>
        <w:t xml:space="preserve">The </w:t>
      </w:r>
      <w:r w:rsidRPr="0066195F">
        <w:rPr>
          <w:rFonts w:ascii="Tahoma" w:hAnsi="Tahoma" w:cs="Tahoma"/>
          <w:b/>
        </w:rPr>
        <w:t>Strategic Grant</w:t>
      </w:r>
      <w:r>
        <w:rPr>
          <w:rFonts w:ascii="Tahoma" w:hAnsi="Tahoma" w:cs="Tahoma"/>
        </w:rPr>
        <w:t xml:space="preserve"> for which GL has received provisional approval is called </w:t>
      </w:r>
      <w:r w:rsidRPr="000E7149">
        <w:rPr>
          <w:rFonts w:ascii="Tahoma" w:hAnsi="Tahoma" w:cs="Tahoma"/>
          <w:b/>
        </w:rPr>
        <w:t xml:space="preserve">“Voice and Choice: From Local to Regional Action.” </w:t>
      </w:r>
      <w:r>
        <w:rPr>
          <w:rFonts w:ascii="Tahoma" w:hAnsi="Tahoma" w:cs="Tahoma"/>
        </w:rPr>
        <w:t>In line with the more flexible, strategic thrust of this grant</w:t>
      </w:r>
      <w:r w:rsidR="002E0042">
        <w:rPr>
          <w:rFonts w:ascii="Tahoma" w:hAnsi="Tahoma" w:cs="Tahoma"/>
        </w:rPr>
        <w:t xml:space="preserve">, the main </w:t>
      </w:r>
      <w:r w:rsidR="00EA597B">
        <w:rPr>
          <w:rFonts w:ascii="Tahoma" w:hAnsi="Tahoma" w:cs="Tahoma"/>
        </w:rPr>
        <w:t>of this grant is to connect the dots from local, to national, to regional level. The hands and feet of the grant are the 425 COE for Gende</w:t>
      </w:r>
      <w:r w:rsidR="000E7149">
        <w:rPr>
          <w:rFonts w:ascii="Tahoma" w:hAnsi="Tahoma" w:cs="Tahoma"/>
        </w:rPr>
        <w:t>r in Local government. The action</w:t>
      </w:r>
      <w:r w:rsidR="00EA597B">
        <w:rPr>
          <w:rFonts w:ascii="Tahoma" w:hAnsi="Tahoma" w:cs="Tahoma"/>
        </w:rPr>
        <w:t xml:space="preserve"> includes</w:t>
      </w:r>
      <w:r w:rsidR="000E7149">
        <w:rPr>
          <w:rFonts w:ascii="Tahoma" w:hAnsi="Tahoma" w:cs="Tahoma"/>
        </w:rPr>
        <w:t xml:space="preserve">: </w:t>
      </w:r>
    </w:p>
    <w:p w:rsidR="00E610EF" w:rsidRDefault="0056686B" w:rsidP="000E7149">
      <w:pPr>
        <w:pStyle w:val="ListParagraph"/>
        <w:numPr>
          <w:ilvl w:val="0"/>
          <w:numId w:val="5"/>
        </w:numPr>
        <w:spacing w:after="0" w:line="240" w:lineRule="auto"/>
        <w:jc w:val="both"/>
        <w:rPr>
          <w:rFonts w:ascii="Tahoma" w:hAnsi="Tahoma" w:cs="Tahoma"/>
        </w:rPr>
      </w:pPr>
      <w:r>
        <w:rPr>
          <w:rFonts w:ascii="Tahoma" w:hAnsi="Tahoma" w:cs="Tahoma"/>
          <w:noProof/>
          <w:lang w:eastAsia="en-GB"/>
        </w:rPr>
        <mc:AlternateContent>
          <mc:Choice Requires="wps">
            <w:drawing>
              <wp:anchor distT="0" distB="0" distL="114300" distR="114300" simplePos="0" relativeHeight="251668480" behindDoc="0" locked="0" layoutInCell="1" allowOverlap="1" wp14:anchorId="2069167F" wp14:editId="7A90D5A2">
                <wp:simplePos x="0" y="0"/>
                <wp:positionH relativeFrom="column">
                  <wp:posOffset>4158615</wp:posOffset>
                </wp:positionH>
                <wp:positionV relativeFrom="paragraph">
                  <wp:posOffset>82550</wp:posOffset>
                </wp:positionV>
                <wp:extent cx="1680845" cy="1985645"/>
                <wp:effectExtent l="0" t="0" r="14605" b="14605"/>
                <wp:wrapSquare wrapText="bothSides"/>
                <wp:docPr id="4" name="Text Box 4"/>
                <wp:cNvGraphicFramePr/>
                <a:graphic xmlns:a="http://schemas.openxmlformats.org/drawingml/2006/main">
                  <a:graphicData uri="http://schemas.microsoft.com/office/word/2010/wordprocessingShape">
                    <wps:wsp>
                      <wps:cNvSpPr txBox="1"/>
                      <wps:spPr>
                        <a:xfrm>
                          <a:off x="0" y="0"/>
                          <a:ext cx="1680845" cy="1985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686B" w:rsidRDefault="0056686B">
                            <w:r>
                              <w:t>As the Barometer turns ten in 2018, it will feature a Spotlight on the #</w:t>
                            </w:r>
                            <w:proofErr w:type="spellStart"/>
                            <w:r>
                              <w:t>SheDecidesSouthernAfrica</w:t>
                            </w:r>
                            <w:proofErr w:type="spellEnd"/>
                            <w:r>
                              <w:t xml:space="preserve"> campaign that touches on many chapters – Constitutional and legal; education; health; GBV; HIV and Aids to name a few.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27.45pt;margin-top:6.5pt;width:132.35pt;height:15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" fillcolor="white [3201]" strokeweight=".5pt">
                <v:textbox>
                  <w:txbxContent>
                    <w:p w:rsidR="0056686B" w:rsidRDefault="0056686B">
                      <w:r>
                        <w:t>As the Barometer turns ten in 2018, it will feature a Spotlight on the #</w:t>
                      </w:r>
                      <w:proofErr w:type="spellStart"/>
                      <w:r>
                        <w:t>SheDecidesSouthernAfrica</w:t>
                      </w:r>
                      <w:proofErr w:type="spellEnd"/>
                      <w:r>
                        <w:t xml:space="preserve"> campaign that touches on many chapters – Constitutional and legal; education; health; GBV; HIV and Aids to name a few. </w:t>
                      </w:r>
                    </w:p>
                  </w:txbxContent>
                </v:textbox>
                <w10:wrap type="square"/>
              </v:shape>
            </w:pict>
          </mc:Fallback>
        </mc:AlternateContent>
      </w:r>
      <w:r w:rsidR="000E7149">
        <w:rPr>
          <w:rFonts w:ascii="Tahoma" w:hAnsi="Tahoma" w:cs="Tahoma"/>
        </w:rPr>
        <w:t xml:space="preserve">Bringing the local level partners into the Alliance partnership, including a Network of Young Women Junior Councillors, to join the Young Women’s Alliance. </w:t>
      </w:r>
    </w:p>
    <w:p w:rsidR="000E7149" w:rsidRDefault="000E7149" w:rsidP="000E7149">
      <w:pPr>
        <w:pStyle w:val="ListParagraph"/>
        <w:numPr>
          <w:ilvl w:val="0"/>
          <w:numId w:val="5"/>
        </w:numPr>
        <w:spacing w:after="0" w:line="240" w:lineRule="auto"/>
        <w:jc w:val="both"/>
        <w:rPr>
          <w:rFonts w:ascii="Tahoma" w:hAnsi="Tahoma" w:cs="Tahoma"/>
        </w:rPr>
      </w:pPr>
      <w:r>
        <w:rPr>
          <w:rFonts w:ascii="Tahoma" w:hAnsi="Tahoma" w:cs="Tahoma"/>
        </w:rPr>
        <w:t xml:space="preserve">Developing model SRHR policies </w:t>
      </w:r>
      <w:r w:rsidR="0056686B">
        <w:rPr>
          <w:rFonts w:ascii="Tahoma" w:hAnsi="Tahoma" w:cs="Tahoma"/>
        </w:rPr>
        <w:t xml:space="preserve">at national level and cascading these to the local level. </w:t>
      </w:r>
    </w:p>
    <w:p w:rsidR="0056686B" w:rsidRDefault="0056686B" w:rsidP="000E7149">
      <w:pPr>
        <w:pStyle w:val="ListParagraph"/>
        <w:numPr>
          <w:ilvl w:val="0"/>
          <w:numId w:val="5"/>
        </w:numPr>
        <w:spacing w:after="0" w:line="240" w:lineRule="auto"/>
        <w:jc w:val="both"/>
        <w:rPr>
          <w:rFonts w:ascii="Tahoma" w:hAnsi="Tahoma" w:cs="Tahoma"/>
        </w:rPr>
      </w:pPr>
      <w:r>
        <w:rPr>
          <w:rFonts w:ascii="Tahoma" w:hAnsi="Tahoma" w:cs="Tahoma"/>
        </w:rPr>
        <w:t xml:space="preserve">Capacity building for the 800 Gender Focal Persons in the </w:t>
      </w:r>
      <w:proofErr w:type="spellStart"/>
      <w:r>
        <w:rPr>
          <w:rFonts w:ascii="Tahoma" w:hAnsi="Tahoma" w:cs="Tahoma"/>
        </w:rPr>
        <w:t>GCOEs</w:t>
      </w:r>
      <w:proofErr w:type="spellEnd"/>
      <w:r>
        <w:rPr>
          <w:rFonts w:ascii="Tahoma" w:hAnsi="Tahoma" w:cs="Tahoma"/>
        </w:rPr>
        <w:t xml:space="preserve"> as part of strengthening local level action plans and advocacy on SRHR.</w:t>
      </w:r>
    </w:p>
    <w:p w:rsidR="0056686B" w:rsidRDefault="0056686B" w:rsidP="000E7149">
      <w:pPr>
        <w:pStyle w:val="ListParagraph"/>
        <w:numPr>
          <w:ilvl w:val="0"/>
          <w:numId w:val="5"/>
        </w:numPr>
        <w:spacing w:after="0" w:line="240" w:lineRule="auto"/>
        <w:jc w:val="both"/>
        <w:rPr>
          <w:rFonts w:ascii="Tahoma" w:hAnsi="Tahoma" w:cs="Tahoma"/>
        </w:rPr>
      </w:pPr>
      <w:r>
        <w:rPr>
          <w:rFonts w:ascii="Tahoma" w:hAnsi="Tahoma" w:cs="Tahoma"/>
        </w:rPr>
        <w:t>Youth engagement in the provision of services, especially through the Junior Councils and use of IT.</w:t>
      </w:r>
    </w:p>
    <w:p w:rsidR="0056686B" w:rsidRPr="000E7149" w:rsidRDefault="0056686B" w:rsidP="000E7149">
      <w:pPr>
        <w:pStyle w:val="ListParagraph"/>
        <w:numPr>
          <w:ilvl w:val="0"/>
          <w:numId w:val="5"/>
        </w:numPr>
        <w:spacing w:after="0" w:line="240" w:lineRule="auto"/>
        <w:jc w:val="both"/>
        <w:rPr>
          <w:rFonts w:ascii="Tahoma" w:hAnsi="Tahoma" w:cs="Tahoma"/>
        </w:rPr>
      </w:pPr>
      <w:r>
        <w:rPr>
          <w:rFonts w:ascii="Tahoma" w:hAnsi="Tahoma" w:cs="Tahoma"/>
        </w:rPr>
        <w:t xml:space="preserve">Gathering evidence, peer learning and sharing through the SADC Protocol@Work summits; tracking progress through the Barometer.  </w:t>
      </w:r>
    </w:p>
    <w:p w:rsidR="0080576F" w:rsidRPr="00812902" w:rsidRDefault="0080576F" w:rsidP="00812902">
      <w:pPr>
        <w:ind w:left="5760"/>
        <w:rPr>
          <w:rFonts w:ascii="Tahoma" w:hAnsi="Tahoma" w:cs="Tahoma"/>
        </w:rPr>
      </w:pPr>
      <w:r w:rsidRPr="00812902">
        <w:rPr>
          <w:rFonts w:ascii="Tahoma" w:hAnsi="Tahoma" w:cs="Tahoma"/>
        </w:rPr>
        <w:br w:type="page"/>
      </w:r>
    </w:p>
    <w:p w:rsidR="0080576F" w:rsidRDefault="0080576F">
      <w:pPr>
        <w:sectPr w:rsidR="0080576F">
          <w:footerReference w:type="default" r:id="rId8"/>
          <w:pgSz w:w="11906" w:h="16838"/>
          <w:pgMar w:top="1440" w:right="1440" w:bottom="1440" w:left="1440" w:header="708" w:footer="708" w:gutter="0"/>
          <w:cols w:space="708"/>
          <w:docGrid w:linePitch="360"/>
        </w:sectPr>
      </w:pPr>
    </w:p>
    <w:p w:rsidR="0080576F" w:rsidRPr="0080576F" w:rsidRDefault="0080576F" w:rsidP="007D72FE">
      <w:pPr>
        <w:ind w:left="2880" w:firstLine="720"/>
        <w:rPr>
          <w:rFonts w:ascii="Tahoma" w:hAnsi="Tahoma" w:cs="Tahoma"/>
          <w:b/>
        </w:rPr>
        <w:sectPr w:rsidR="0080576F" w:rsidRPr="0080576F" w:rsidSect="0080576F">
          <w:pgSz w:w="16838" w:h="11906" w:orient="landscape"/>
          <w:pgMar w:top="1440" w:right="1440" w:bottom="1440" w:left="1440" w:header="709" w:footer="709" w:gutter="0"/>
          <w:cols w:space="708"/>
          <w:docGrid w:linePitch="360"/>
        </w:sectPr>
      </w:pPr>
      <w:r w:rsidRPr="0080576F">
        <w:rPr>
          <w:rFonts w:ascii="Tahoma" w:hAnsi="Tahoma" w:cs="Tahoma"/>
          <w:b/>
          <w:noProof/>
          <w:lang w:eastAsia="en-GB"/>
        </w:rPr>
        <w:lastRenderedPageBreak/>
        <w:drawing>
          <wp:anchor distT="0" distB="0" distL="114300" distR="114300" simplePos="0" relativeHeight="251658240" behindDoc="0" locked="0" layoutInCell="1" allowOverlap="1" wp14:anchorId="2B97A162" wp14:editId="73170743">
            <wp:simplePos x="0" y="0"/>
            <wp:positionH relativeFrom="column">
              <wp:posOffset>97790</wp:posOffset>
            </wp:positionH>
            <wp:positionV relativeFrom="paragraph">
              <wp:posOffset>432435</wp:posOffset>
            </wp:positionV>
            <wp:extent cx="8396605" cy="5739130"/>
            <wp:effectExtent l="0" t="0" r="4445" b="0"/>
            <wp:wrapSquare wrapText="bothSides"/>
            <wp:docPr id="1" name="Picture 1" descr="C:\Users\Colleen\OneDrive - No 9 Derrick Avenue\CLM\8. DONORS\Z.Unsuccessful applications\RNE\3A THEORY OF CHANGE\Voice&amp;Choice SRHRfin2b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OneDrive - No 9 Derrick Avenue\CLM\8. DONORS\Z.Unsuccessful applications\RNE\3A THEORY OF CHANGE\Voice&amp;Choice SRHRfin2b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6605" cy="573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0EF">
        <w:rPr>
          <w:rFonts w:ascii="Tahoma" w:hAnsi="Tahoma" w:cs="Tahoma"/>
          <w:b/>
        </w:rPr>
        <w:t xml:space="preserve">ANNEX A: </w:t>
      </w:r>
      <w:r w:rsidRPr="0080576F">
        <w:rPr>
          <w:rFonts w:ascii="Tahoma" w:hAnsi="Tahoma" w:cs="Tahoma"/>
          <w:b/>
        </w:rPr>
        <w:t xml:space="preserve">GL’s THEORY OF CHANGE FOR </w:t>
      </w:r>
      <w:r w:rsidR="007D72FE">
        <w:rPr>
          <w:rFonts w:ascii="Tahoma" w:hAnsi="Tahoma" w:cs="Tahoma"/>
          <w:b/>
        </w:rPr>
        <w:t xml:space="preserve">PROMOTING </w:t>
      </w:r>
      <w:r w:rsidRPr="0080576F">
        <w:rPr>
          <w:rFonts w:ascii="Tahoma" w:hAnsi="Tahoma" w:cs="Tahoma"/>
          <w:b/>
        </w:rPr>
        <w:t xml:space="preserve">SRHR IN SOUTHERN AFRICA </w:t>
      </w:r>
    </w:p>
    <w:p w:rsidR="00B96CE3" w:rsidRDefault="001A5806" w:rsidP="001A5806">
      <w:pPr>
        <w:spacing w:after="0" w:line="240" w:lineRule="auto"/>
        <w:jc w:val="center"/>
        <w:rPr>
          <w:rFonts w:ascii="Tahoma" w:hAnsi="Tahoma" w:cs="Tahoma"/>
          <w:b/>
        </w:rPr>
      </w:pPr>
      <w:r w:rsidRPr="001A5806">
        <w:rPr>
          <w:rFonts w:ascii="Tahoma" w:hAnsi="Tahoma" w:cs="Tahoma"/>
          <w:b/>
        </w:rPr>
        <w:lastRenderedPageBreak/>
        <w:t xml:space="preserve">ANNEX B: COMPLEMENTARITY BETWEEN STRATEGIC AND NETWORK EXTENSION GRANTS </w:t>
      </w:r>
    </w:p>
    <w:tbl>
      <w:tblPr>
        <w:tblStyle w:val="TableGrid"/>
        <w:tblW w:w="0" w:type="auto"/>
        <w:tblLook w:val="04A0" w:firstRow="1" w:lastRow="0" w:firstColumn="1" w:lastColumn="0" w:noHBand="0" w:noVBand="1"/>
      </w:tblPr>
      <w:tblGrid>
        <w:gridCol w:w="7087"/>
        <w:gridCol w:w="7087"/>
      </w:tblGrid>
      <w:tr w:rsidR="00B96CE3" w:rsidTr="00B96CE3">
        <w:trPr>
          <w:tblHeader/>
        </w:trPr>
        <w:tc>
          <w:tcPr>
            <w:tcW w:w="7087" w:type="dxa"/>
            <w:shd w:val="clear" w:color="auto" w:fill="DBE5F1" w:themeFill="accent1" w:themeFillTint="33"/>
          </w:tcPr>
          <w:p w:rsidR="00B96CE3" w:rsidRPr="00DA080B" w:rsidRDefault="00B96CE3" w:rsidP="00B96CE3">
            <w:pPr>
              <w:rPr>
                <w:b/>
                <w:bCs/>
              </w:rPr>
            </w:pPr>
            <w:r w:rsidRPr="00DA080B">
              <w:rPr>
                <w:b/>
                <w:bCs/>
              </w:rPr>
              <w:t xml:space="preserve">PROPOSED ACTIVITIES STRATEGIC GRANT </w:t>
            </w:r>
          </w:p>
        </w:tc>
        <w:tc>
          <w:tcPr>
            <w:tcW w:w="7087" w:type="dxa"/>
            <w:shd w:val="clear" w:color="auto" w:fill="DBE5F1" w:themeFill="accent1" w:themeFillTint="33"/>
          </w:tcPr>
          <w:p w:rsidR="00B96CE3" w:rsidRPr="00DA080B" w:rsidRDefault="00B96CE3" w:rsidP="00B96CE3">
            <w:pPr>
              <w:rPr>
                <w:b/>
                <w:bCs/>
              </w:rPr>
            </w:pPr>
            <w:r w:rsidRPr="00DA080B">
              <w:rPr>
                <w:b/>
                <w:bCs/>
              </w:rPr>
              <w:t>PROPOSED ACTIVITIES NETWORK EXTENSION</w:t>
            </w:r>
          </w:p>
        </w:tc>
      </w:tr>
      <w:tr w:rsidR="00B96CE3" w:rsidTr="00B96CE3">
        <w:tc>
          <w:tcPr>
            <w:tcW w:w="7087" w:type="dxa"/>
            <w:shd w:val="clear" w:color="auto" w:fill="FDE9D9" w:themeFill="accent6" w:themeFillTint="33"/>
          </w:tcPr>
          <w:p w:rsidR="00B96CE3" w:rsidRPr="00DA080B" w:rsidRDefault="00B96CE3" w:rsidP="00B96CE3">
            <w:pPr>
              <w:rPr>
                <w:b/>
                <w:bCs/>
              </w:rPr>
            </w:pPr>
            <w:r w:rsidRPr="00DA080B">
              <w:rPr>
                <w:b/>
                <w:bCs/>
              </w:rPr>
              <w:t xml:space="preserve">Activity 1: Strengthening the SRHR cluster </w:t>
            </w:r>
          </w:p>
        </w:tc>
        <w:tc>
          <w:tcPr>
            <w:tcW w:w="7087" w:type="dxa"/>
            <w:shd w:val="clear" w:color="auto" w:fill="FDE9D9" w:themeFill="accent6" w:themeFillTint="33"/>
          </w:tcPr>
          <w:p w:rsidR="00B96CE3" w:rsidRPr="00DA080B" w:rsidRDefault="00B96CE3" w:rsidP="00B96CE3">
            <w:pPr>
              <w:rPr>
                <w:b/>
                <w:bCs/>
              </w:rPr>
            </w:pPr>
            <w:r w:rsidRPr="00DA080B">
              <w:rPr>
                <w:b/>
                <w:bCs/>
              </w:rPr>
              <w:t xml:space="preserve">Activity 3. Advocacy and policy engagement and strengthening of </w:t>
            </w:r>
            <w:proofErr w:type="spellStart"/>
            <w:r w:rsidRPr="00DA080B">
              <w:rPr>
                <w:b/>
                <w:bCs/>
              </w:rPr>
              <w:t>LGBTI</w:t>
            </w:r>
            <w:proofErr w:type="spellEnd"/>
            <w:r w:rsidRPr="00DA080B">
              <w:rPr>
                <w:b/>
                <w:bCs/>
              </w:rPr>
              <w:t xml:space="preserve"> network in the Alliance  </w:t>
            </w:r>
          </w:p>
        </w:tc>
      </w:tr>
      <w:tr w:rsidR="00B96CE3" w:rsidTr="00B96CE3">
        <w:tc>
          <w:tcPr>
            <w:tcW w:w="7087" w:type="dxa"/>
          </w:tcPr>
          <w:p w:rsidR="00B96CE3" w:rsidRPr="00DA080B" w:rsidRDefault="00B96CE3" w:rsidP="00B96CE3">
            <w:r w:rsidRPr="00DA080B">
              <w:t xml:space="preserve">Sub-activity 1.1: Mapping of SRHR organisations in target countries </w:t>
            </w:r>
          </w:p>
        </w:tc>
        <w:tc>
          <w:tcPr>
            <w:tcW w:w="7087" w:type="dxa"/>
          </w:tcPr>
          <w:p w:rsidR="00B96CE3" w:rsidRPr="00DA080B" w:rsidRDefault="00B96CE3" w:rsidP="00B96CE3">
            <w:r w:rsidRPr="00DA080B">
              <w:t xml:space="preserve">Sub-activity 3.1 Develop a campaign to decriminalise </w:t>
            </w:r>
            <w:proofErr w:type="spellStart"/>
            <w:r w:rsidRPr="00DA080B">
              <w:t>LGBTI</w:t>
            </w:r>
            <w:proofErr w:type="spellEnd"/>
            <w:r w:rsidRPr="00DA080B">
              <w:t xml:space="preserve"> in at least 3 countries </w:t>
            </w:r>
          </w:p>
        </w:tc>
      </w:tr>
      <w:tr w:rsidR="00B96CE3" w:rsidTr="00B96CE3">
        <w:tc>
          <w:tcPr>
            <w:tcW w:w="7087" w:type="dxa"/>
          </w:tcPr>
          <w:p w:rsidR="00B96CE3" w:rsidRPr="00DA080B" w:rsidRDefault="00B96CE3" w:rsidP="00B96CE3">
            <w:r w:rsidRPr="00DA080B">
              <w:t xml:space="preserve">Sub-activity 1.2: Identifying youth champions for SRHR at national and local level </w:t>
            </w:r>
          </w:p>
        </w:tc>
        <w:tc>
          <w:tcPr>
            <w:tcW w:w="7087" w:type="dxa"/>
          </w:tcPr>
          <w:p w:rsidR="00B96CE3" w:rsidRPr="00DA080B" w:rsidRDefault="00B96CE3" w:rsidP="00B96CE3">
            <w:r w:rsidRPr="00DA080B">
              <w:t xml:space="preserve">Sub activity 3.2 Collection of case studies on best practices on </w:t>
            </w:r>
            <w:proofErr w:type="spellStart"/>
            <w:r w:rsidRPr="00DA080B">
              <w:t>LGBTI</w:t>
            </w:r>
            <w:proofErr w:type="spellEnd"/>
            <w:r w:rsidRPr="00DA080B">
              <w:t xml:space="preserve"> </w:t>
            </w:r>
          </w:p>
        </w:tc>
      </w:tr>
      <w:tr w:rsidR="00B96CE3" w:rsidTr="00B96CE3">
        <w:tc>
          <w:tcPr>
            <w:tcW w:w="7087" w:type="dxa"/>
          </w:tcPr>
          <w:p w:rsidR="00B96CE3" w:rsidRPr="00DA080B" w:rsidRDefault="00B96CE3" w:rsidP="00B96CE3">
            <w:r w:rsidRPr="00DA080B">
              <w:t xml:space="preserve">Sub-activity 1.3: Mapping of </w:t>
            </w:r>
            <w:proofErr w:type="spellStart"/>
            <w:r w:rsidRPr="00DA080B">
              <w:t>LGBTI</w:t>
            </w:r>
            <w:proofErr w:type="spellEnd"/>
            <w:r w:rsidRPr="00DA080B">
              <w:t xml:space="preserve"> groups </w:t>
            </w:r>
          </w:p>
        </w:tc>
        <w:tc>
          <w:tcPr>
            <w:tcW w:w="7087" w:type="dxa"/>
          </w:tcPr>
          <w:p w:rsidR="00B96CE3" w:rsidRPr="00DA080B" w:rsidRDefault="00B96CE3" w:rsidP="00B96CE3">
            <w:r w:rsidRPr="00DA080B">
              <w:t xml:space="preserve">Sub activity 3.3  Meeting with </w:t>
            </w:r>
            <w:proofErr w:type="spellStart"/>
            <w:r w:rsidRPr="00DA080B">
              <w:t>LGBTI</w:t>
            </w:r>
            <w:proofErr w:type="spellEnd"/>
            <w:r w:rsidRPr="00DA080B">
              <w:t xml:space="preserve"> networks in the region   </w:t>
            </w:r>
          </w:p>
        </w:tc>
      </w:tr>
      <w:tr w:rsidR="00B96CE3" w:rsidTr="00B96CE3">
        <w:tc>
          <w:tcPr>
            <w:tcW w:w="7087" w:type="dxa"/>
          </w:tcPr>
          <w:p w:rsidR="00B96CE3" w:rsidRPr="00DA080B" w:rsidRDefault="00B96CE3" w:rsidP="00B96CE3">
            <w:r w:rsidRPr="00DA080B">
              <w:t>Sub-activity 1.4: Convene SRHR national cluster meetings</w:t>
            </w:r>
          </w:p>
        </w:tc>
        <w:tc>
          <w:tcPr>
            <w:tcW w:w="7087" w:type="dxa"/>
          </w:tcPr>
          <w:p w:rsidR="00B96CE3" w:rsidRPr="00DA080B" w:rsidRDefault="00B96CE3" w:rsidP="00B96CE3">
            <w:r w:rsidRPr="00DA080B">
              <w:t>Sub activity 3.4 Policy dialogues with relevant government departments and policy makers in the 3 identified countries</w:t>
            </w:r>
          </w:p>
        </w:tc>
      </w:tr>
      <w:tr w:rsidR="00B96CE3" w:rsidTr="00B96CE3">
        <w:tc>
          <w:tcPr>
            <w:tcW w:w="7087" w:type="dxa"/>
          </w:tcPr>
          <w:p w:rsidR="00B96CE3" w:rsidRPr="00DA080B" w:rsidRDefault="00B96CE3" w:rsidP="00B96CE3">
            <w:r w:rsidRPr="00DA080B">
              <w:t>Sub-activity 1.5: Convene a SRHR regional cluster meetings</w:t>
            </w:r>
          </w:p>
        </w:tc>
        <w:tc>
          <w:tcPr>
            <w:tcW w:w="7087" w:type="dxa"/>
          </w:tcPr>
          <w:p w:rsidR="00B96CE3" w:rsidRPr="00DA080B" w:rsidRDefault="00B96CE3" w:rsidP="00B96CE3">
            <w:pPr>
              <w:rPr>
                <w:b/>
                <w:bCs/>
              </w:rPr>
            </w:pPr>
            <w:r w:rsidRPr="00DA080B">
              <w:rPr>
                <w:b/>
                <w:bCs/>
              </w:rPr>
              <w:t xml:space="preserve">Activity 4. Partnerships with non-traditional SRHR allies – </w:t>
            </w:r>
            <w:proofErr w:type="spellStart"/>
            <w:r w:rsidRPr="00DA080B">
              <w:rPr>
                <w:b/>
                <w:bCs/>
              </w:rPr>
              <w:t>FBOs</w:t>
            </w:r>
            <w:proofErr w:type="spellEnd"/>
            <w:r w:rsidRPr="00DA080B">
              <w:rPr>
                <w:b/>
                <w:bCs/>
              </w:rPr>
              <w:t xml:space="preserve"> </w:t>
            </w:r>
          </w:p>
        </w:tc>
      </w:tr>
      <w:tr w:rsidR="00B96CE3" w:rsidTr="00B96CE3">
        <w:tc>
          <w:tcPr>
            <w:tcW w:w="7087" w:type="dxa"/>
          </w:tcPr>
          <w:p w:rsidR="00B96CE3" w:rsidRPr="00DA080B" w:rsidRDefault="00B96CE3" w:rsidP="00B96CE3">
            <w:r w:rsidRPr="00DA080B">
              <w:t xml:space="preserve">  Sub-activity 1.6: Hold discussions forums on SRHR on the Alliance and Governance Community of Practice</w:t>
            </w:r>
          </w:p>
        </w:tc>
        <w:tc>
          <w:tcPr>
            <w:tcW w:w="7087" w:type="dxa"/>
          </w:tcPr>
          <w:p w:rsidR="00B96CE3" w:rsidRPr="00DA080B" w:rsidRDefault="00B96CE3" w:rsidP="00B96CE3">
            <w:r w:rsidRPr="00DA080B">
              <w:t xml:space="preserve">Sub-activity 4.1 Mapping of  </w:t>
            </w:r>
            <w:proofErr w:type="spellStart"/>
            <w:r w:rsidRPr="00DA080B">
              <w:t>FBOs</w:t>
            </w:r>
            <w:proofErr w:type="spellEnd"/>
            <w:r w:rsidRPr="00DA080B">
              <w:t xml:space="preserve"> to partner with in the project </w:t>
            </w:r>
          </w:p>
        </w:tc>
      </w:tr>
      <w:tr w:rsidR="00B96CE3" w:rsidTr="00B96CE3">
        <w:tc>
          <w:tcPr>
            <w:tcW w:w="7087" w:type="dxa"/>
          </w:tcPr>
          <w:p w:rsidR="00B96CE3" w:rsidRPr="00DA080B" w:rsidRDefault="00B96CE3" w:rsidP="00B96CE3">
            <w:r w:rsidRPr="00DA080B">
              <w:t> </w:t>
            </w:r>
          </w:p>
        </w:tc>
        <w:tc>
          <w:tcPr>
            <w:tcW w:w="7087" w:type="dxa"/>
          </w:tcPr>
          <w:p w:rsidR="00B96CE3" w:rsidRPr="00DA080B" w:rsidRDefault="00B96CE3" w:rsidP="00B96CE3">
            <w:r w:rsidRPr="00DA080B">
              <w:t xml:space="preserve">Sub-activity 4.2  Regional strategy meeting with FBOS </w:t>
            </w:r>
          </w:p>
        </w:tc>
      </w:tr>
      <w:tr w:rsidR="00B96CE3" w:rsidTr="00B96CE3">
        <w:tc>
          <w:tcPr>
            <w:tcW w:w="7087" w:type="dxa"/>
          </w:tcPr>
          <w:p w:rsidR="00B96CE3" w:rsidRPr="00DA080B" w:rsidRDefault="00B96CE3" w:rsidP="00B96CE3">
            <w:r w:rsidRPr="00DA080B">
              <w:t> </w:t>
            </w:r>
          </w:p>
        </w:tc>
        <w:tc>
          <w:tcPr>
            <w:tcW w:w="7087" w:type="dxa"/>
          </w:tcPr>
          <w:p w:rsidR="00B96CE3" w:rsidRPr="00DA080B" w:rsidRDefault="00B96CE3" w:rsidP="00B96CE3">
            <w:r w:rsidRPr="00DA080B">
              <w:t xml:space="preserve">Sub-activity  4.3  Development of a faith based SRHR toolkit </w:t>
            </w:r>
          </w:p>
        </w:tc>
      </w:tr>
      <w:tr w:rsidR="00B96CE3" w:rsidTr="00B96CE3">
        <w:tc>
          <w:tcPr>
            <w:tcW w:w="7087" w:type="dxa"/>
            <w:shd w:val="clear" w:color="auto" w:fill="FDE9D9" w:themeFill="accent6" w:themeFillTint="33"/>
          </w:tcPr>
          <w:p w:rsidR="00B96CE3" w:rsidRPr="00DA080B" w:rsidRDefault="00B96CE3" w:rsidP="00B96CE3">
            <w:pPr>
              <w:rPr>
                <w:b/>
                <w:bCs/>
              </w:rPr>
            </w:pPr>
            <w:r w:rsidRPr="00DA080B">
              <w:rPr>
                <w:b/>
                <w:bCs/>
              </w:rPr>
              <w:t xml:space="preserve">Activity 2: Influencing SRHR policies </w:t>
            </w:r>
          </w:p>
        </w:tc>
        <w:tc>
          <w:tcPr>
            <w:tcW w:w="7087" w:type="dxa"/>
          </w:tcPr>
          <w:p w:rsidR="00B96CE3" w:rsidRPr="00DA080B" w:rsidRDefault="00B96CE3" w:rsidP="00B96CE3">
            <w:pPr>
              <w:rPr>
                <w:b/>
                <w:bCs/>
              </w:rPr>
            </w:pPr>
            <w:r w:rsidRPr="00DA080B">
              <w:rPr>
                <w:b/>
                <w:bCs/>
              </w:rPr>
              <w:t> </w:t>
            </w:r>
          </w:p>
        </w:tc>
      </w:tr>
      <w:tr w:rsidR="00B96CE3" w:rsidTr="00B96CE3">
        <w:tc>
          <w:tcPr>
            <w:tcW w:w="7087" w:type="dxa"/>
          </w:tcPr>
          <w:p w:rsidR="00B96CE3" w:rsidRPr="00DA080B" w:rsidRDefault="00B96CE3" w:rsidP="00B96CE3">
            <w:r w:rsidRPr="00DA080B">
              <w:t xml:space="preserve">Sub-activity 2.1: Develop a SRHR model policy and present it to policy makers </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Sub-activity 2.2: Collect and analyse SRHR data and case studies in target countries  based on the SADC Gender Protocol and other SRHR frameworks</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 xml:space="preserve">Sub-activity 2.3: Analyse SRHR national policies and SRHR case studies </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 xml:space="preserve">Sub-activity 2.4: Compile, edit, print and launch the SRHR  research publication </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Sub-activity 2.5: Hold SRHR policy consultations at national level based on the SRHR research findings</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 xml:space="preserve">Sub-activity 2.6: Develop and distribute </w:t>
            </w:r>
            <w:proofErr w:type="spellStart"/>
            <w:r w:rsidRPr="00DA080B">
              <w:t>IEC</w:t>
            </w:r>
            <w:proofErr w:type="spellEnd"/>
            <w:r w:rsidRPr="00DA080B">
              <w:t xml:space="preserve"> materials for SRHR (</w:t>
            </w:r>
            <w:proofErr w:type="spellStart"/>
            <w:r w:rsidRPr="00DA080B">
              <w:t>pamphletes</w:t>
            </w:r>
            <w:proofErr w:type="spellEnd"/>
            <w:r w:rsidRPr="00DA080B">
              <w:t xml:space="preserve">, banners and t-shirts) </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 xml:space="preserve">Sub-activity 2.7: Hold SRHR side events at international, regional and continental platforms </w:t>
            </w:r>
          </w:p>
        </w:tc>
        <w:tc>
          <w:tcPr>
            <w:tcW w:w="7087" w:type="dxa"/>
          </w:tcPr>
          <w:p w:rsidR="00B96CE3" w:rsidRPr="00DA080B" w:rsidRDefault="00B96CE3" w:rsidP="00B96CE3">
            <w:r w:rsidRPr="00DA080B">
              <w:t> </w:t>
            </w:r>
          </w:p>
        </w:tc>
      </w:tr>
      <w:tr w:rsidR="00B96CE3" w:rsidTr="00B96CE3">
        <w:tc>
          <w:tcPr>
            <w:tcW w:w="7087" w:type="dxa"/>
            <w:shd w:val="clear" w:color="auto" w:fill="FDE9D9" w:themeFill="accent6" w:themeFillTint="33"/>
          </w:tcPr>
          <w:p w:rsidR="00B96CE3" w:rsidRPr="00DA080B" w:rsidRDefault="00B96CE3" w:rsidP="00B96CE3">
            <w:pPr>
              <w:rPr>
                <w:b/>
                <w:bCs/>
              </w:rPr>
            </w:pPr>
            <w:r w:rsidRPr="00DA080B">
              <w:rPr>
                <w:b/>
                <w:bCs/>
              </w:rPr>
              <w:t>Activity 3. SRHR Campaigns and advocacy strategy</w:t>
            </w:r>
          </w:p>
        </w:tc>
        <w:tc>
          <w:tcPr>
            <w:tcW w:w="7087" w:type="dxa"/>
            <w:shd w:val="clear" w:color="auto" w:fill="FDE9D9" w:themeFill="accent6" w:themeFillTint="33"/>
          </w:tcPr>
          <w:p w:rsidR="00B96CE3" w:rsidRPr="00DA080B" w:rsidRDefault="00B96CE3" w:rsidP="00B96CE3">
            <w:pPr>
              <w:rPr>
                <w:b/>
                <w:bCs/>
              </w:rPr>
            </w:pPr>
            <w:r w:rsidRPr="00DA080B">
              <w:rPr>
                <w:b/>
                <w:bCs/>
              </w:rPr>
              <w:t>Activity 1. Evidence gathering and campaigns on Menstrual Health,  and Access to SRHR services and Abortion</w:t>
            </w:r>
          </w:p>
        </w:tc>
      </w:tr>
      <w:tr w:rsidR="00B96CE3" w:rsidTr="00B96CE3">
        <w:tc>
          <w:tcPr>
            <w:tcW w:w="7087" w:type="dxa"/>
          </w:tcPr>
          <w:p w:rsidR="00B96CE3" w:rsidRPr="00DA080B" w:rsidRDefault="00B96CE3" w:rsidP="00B96CE3">
            <w:r w:rsidRPr="00DA080B">
              <w:lastRenderedPageBreak/>
              <w:t xml:space="preserve">Sub-activity 3.1: Identify digital and social media platforms for SRHR campaigns </w:t>
            </w:r>
          </w:p>
        </w:tc>
        <w:tc>
          <w:tcPr>
            <w:tcW w:w="7087" w:type="dxa"/>
          </w:tcPr>
          <w:p w:rsidR="00B96CE3" w:rsidRPr="00DA080B" w:rsidRDefault="00B96CE3" w:rsidP="00B96CE3">
            <w:r w:rsidRPr="00DA080B">
              <w:t xml:space="preserve">Sub activity 1.1 </w:t>
            </w:r>
            <w:proofErr w:type="gramStart"/>
            <w:r w:rsidRPr="00DA080B">
              <w:t>Analysis  emerging</w:t>
            </w:r>
            <w:proofErr w:type="gramEnd"/>
            <w:r w:rsidRPr="00DA080B">
              <w:t xml:space="preserve"> trends on HIV, menstrual health, safe abortion and access to SRHR services. </w:t>
            </w:r>
          </w:p>
        </w:tc>
      </w:tr>
      <w:tr w:rsidR="00B96CE3" w:rsidTr="00B96CE3">
        <w:tc>
          <w:tcPr>
            <w:tcW w:w="7087" w:type="dxa"/>
          </w:tcPr>
          <w:p w:rsidR="00B96CE3" w:rsidRPr="00DA080B" w:rsidRDefault="00B96CE3" w:rsidP="00B96CE3">
            <w:r w:rsidRPr="00DA080B">
              <w:t>Sub-activity 3.2: Define key messages on SRHR to inform the SRHR campaign and advocacy strategy (these include key messages on SRHR policies, teenage pregnancy, access to SRHR services, GBV, sexual minorities and abortion)</w:t>
            </w:r>
          </w:p>
        </w:tc>
        <w:tc>
          <w:tcPr>
            <w:tcW w:w="7087" w:type="dxa"/>
          </w:tcPr>
          <w:p w:rsidR="00B96CE3" w:rsidRPr="00DA080B" w:rsidRDefault="00B96CE3" w:rsidP="00B96CE3">
            <w:r w:rsidRPr="00DA080B">
              <w:t xml:space="preserve">Sub activity 1.2 Design and review a SRHR campaigns strategy </w:t>
            </w:r>
          </w:p>
        </w:tc>
      </w:tr>
      <w:tr w:rsidR="00B96CE3" w:rsidTr="00B96CE3">
        <w:tc>
          <w:tcPr>
            <w:tcW w:w="7087" w:type="dxa"/>
          </w:tcPr>
          <w:p w:rsidR="00B96CE3" w:rsidRPr="00DA080B" w:rsidRDefault="00B96CE3" w:rsidP="00B96CE3">
            <w:r w:rsidRPr="00DA080B">
              <w:t xml:space="preserve">Sub-activity 3.3: Develop and customise the SRHR advocacy strategy for each target country </w:t>
            </w:r>
          </w:p>
        </w:tc>
        <w:tc>
          <w:tcPr>
            <w:tcW w:w="7087" w:type="dxa"/>
          </w:tcPr>
          <w:p w:rsidR="00B96CE3" w:rsidRPr="00DA080B" w:rsidRDefault="00B96CE3" w:rsidP="00B96CE3">
            <w:r w:rsidRPr="00DA080B">
              <w:t xml:space="preserve">Sub activity 1.3 Update the website to prepare for launch of the campaigns </w:t>
            </w:r>
          </w:p>
        </w:tc>
      </w:tr>
      <w:tr w:rsidR="00B96CE3" w:rsidTr="00B96CE3">
        <w:tc>
          <w:tcPr>
            <w:tcW w:w="7087" w:type="dxa"/>
          </w:tcPr>
          <w:p w:rsidR="00B96CE3" w:rsidRPr="00DA080B" w:rsidRDefault="00B96CE3" w:rsidP="00B96CE3">
            <w:r w:rsidRPr="00DA080B">
              <w:t>Sub-activity 3.4: Design and communicate the SRHR advocacy strategy</w:t>
            </w:r>
          </w:p>
        </w:tc>
        <w:tc>
          <w:tcPr>
            <w:tcW w:w="7087" w:type="dxa"/>
          </w:tcPr>
          <w:p w:rsidR="00B96CE3" w:rsidRPr="00DA080B" w:rsidRDefault="00B96CE3" w:rsidP="00B96CE3">
            <w:r w:rsidRPr="00DA080B">
              <w:t xml:space="preserve">Sub activity 1.4  Launch the campaign </w:t>
            </w:r>
          </w:p>
        </w:tc>
      </w:tr>
      <w:tr w:rsidR="00B96CE3" w:rsidTr="00B96CE3">
        <w:tc>
          <w:tcPr>
            <w:tcW w:w="7087" w:type="dxa"/>
          </w:tcPr>
          <w:p w:rsidR="00B96CE3" w:rsidRPr="00DA080B" w:rsidRDefault="00B96CE3" w:rsidP="00B96CE3">
            <w:r w:rsidRPr="00DA080B">
              <w:t xml:space="preserve">Sub-activity 3.5: Hold discussion forums on SRHR on the Community of Practice </w:t>
            </w:r>
          </w:p>
        </w:tc>
        <w:tc>
          <w:tcPr>
            <w:tcW w:w="7087" w:type="dxa"/>
          </w:tcPr>
          <w:p w:rsidR="00B96CE3" w:rsidRPr="00DA080B" w:rsidRDefault="00B96CE3" w:rsidP="00B96CE3">
            <w:r w:rsidRPr="00DA080B">
              <w:t xml:space="preserve">Sub activity 1.5 Implement the campaign strategy </w:t>
            </w:r>
          </w:p>
        </w:tc>
      </w:tr>
      <w:tr w:rsidR="00B96CE3" w:rsidTr="00B96CE3">
        <w:tc>
          <w:tcPr>
            <w:tcW w:w="7087" w:type="dxa"/>
          </w:tcPr>
          <w:p w:rsidR="00B96CE3" w:rsidRPr="00DA080B" w:rsidRDefault="00B96CE3" w:rsidP="00B96CE3">
            <w:r w:rsidRPr="00DA080B">
              <w:t xml:space="preserve">Sub-activity </w:t>
            </w:r>
            <w:proofErr w:type="spellStart"/>
            <w:r w:rsidRPr="00DA080B">
              <w:t>3.6:Hold</w:t>
            </w:r>
            <w:proofErr w:type="spellEnd"/>
            <w:r w:rsidRPr="00DA080B">
              <w:t xml:space="preserve"> SRHR campaigns on social media and web-based platforms </w:t>
            </w:r>
          </w:p>
        </w:tc>
        <w:tc>
          <w:tcPr>
            <w:tcW w:w="7087" w:type="dxa"/>
          </w:tcPr>
          <w:p w:rsidR="00B96CE3" w:rsidRPr="00DA080B" w:rsidRDefault="00B96CE3" w:rsidP="00B96CE3">
            <w:pPr>
              <w:rPr>
                <w:b/>
                <w:bCs/>
              </w:rPr>
            </w:pPr>
            <w:r w:rsidRPr="00DA080B">
              <w:rPr>
                <w:b/>
                <w:bCs/>
              </w:rPr>
              <w:t xml:space="preserve">Activity 2. Media training and collaboration on core campaigns </w:t>
            </w:r>
          </w:p>
        </w:tc>
      </w:tr>
      <w:tr w:rsidR="00B96CE3" w:rsidTr="00B96CE3">
        <w:tc>
          <w:tcPr>
            <w:tcW w:w="7087" w:type="dxa"/>
          </w:tcPr>
          <w:p w:rsidR="00B96CE3" w:rsidRPr="00DA080B" w:rsidRDefault="00B96CE3" w:rsidP="00B96CE3">
            <w:r w:rsidRPr="00DA080B">
              <w:t xml:space="preserve">Sub-activity 3.7: Write blogs and press releases on SRHR </w:t>
            </w:r>
          </w:p>
        </w:tc>
        <w:tc>
          <w:tcPr>
            <w:tcW w:w="7087" w:type="dxa"/>
          </w:tcPr>
          <w:p w:rsidR="00B96CE3" w:rsidRPr="00DA080B" w:rsidRDefault="00B96CE3" w:rsidP="00B96CE3">
            <w:r w:rsidRPr="00DA080B">
              <w:t xml:space="preserve">Sub-activity 2.1 Mapping exercise of media outlets in SADC to be part of the project </w:t>
            </w:r>
          </w:p>
        </w:tc>
      </w:tr>
      <w:tr w:rsidR="00B96CE3" w:rsidTr="00B96CE3">
        <w:tc>
          <w:tcPr>
            <w:tcW w:w="7087" w:type="dxa"/>
          </w:tcPr>
          <w:p w:rsidR="00B96CE3" w:rsidRPr="00DA080B" w:rsidRDefault="00B96CE3" w:rsidP="00B96CE3">
            <w:r w:rsidRPr="00DA080B">
              <w:t> </w:t>
            </w:r>
          </w:p>
        </w:tc>
        <w:tc>
          <w:tcPr>
            <w:tcW w:w="7087" w:type="dxa"/>
          </w:tcPr>
          <w:p w:rsidR="00B96CE3" w:rsidRPr="00DA080B" w:rsidRDefault="00B96CE3" w:rsidP="00B96CE3">
            <w:r w:rsidRPr="00DA080B">
              <w:t xml:space="preserve">Sub-activity 2.2  Training meeting for journalists on reporting SRHR topics </w:t>
            </w:r>
          </w:p>
        </w:tc>
      </w:tr>
      <w:tr w:rsidR="00B96CE3" w:rsidTr="00B96CE3">
        <w:tc>
          <w:tcPr>
            <w:tcW w:w="7087" w:type="dxa"/>
          </w:tcPr>
          <w:p w:rsidR="00B96CE3" w:rsidRPr="00DA080B" w:rsidRDefault="00B96CE3" w:rsidP="00B96CE3">
            <w:r w:rsidRPr="00DA080B">
              <w:t> </w:t>
            </w:r>
          </w:p>
        </w:tc>
        <w:tc>
          <w:tcPr>
            <w:tcW w:w="7087" w:type="dxa"/>
          </w:tcPr>
          <w:p w:rsidR="00B96CE3" w:rsidRPr="00DA080B" w:rsidRDefault="00B96CE3" w:rsidP="00B96CE3">
            <w:r w:rsidRPr="00DA080B">
              <w:t xml:space="preserve">Sub-activity 2.3  Commission an  in-depth articles on SRHR topics  </w:t>
            </w:r>
          </w:p>
        </w:tc>
      </w:tr>
      <w:tr w:rsidR="00B96CE3" w:rsidTr="00B96CE3">
        <w:tc>
          <w:tcPr>
            <w:tcW w:w="7087" w:type="dxa"/>
          </w:tcPr>
          <w:p w:rsidR="00B96CE3" w:rsidRPr="00DA080B" w:rsidRDefault="00B96CE3" w:rsidP="00B96CE3">
            <w:r w:rsidRPr="00DA080B">
              <w:t> </w:t>
            </w:r>
          </w:p>
        </w:tc>
        <w:tc>
          <w:tcPr>
            <w:tcW w:w="7087" w:type="dxa"/>
          </w:tcPr>
          <w:p w:rsidR="00B96CE3" w:rsidRPr="00DA080B" w:rsidRDefault="00B96CE3" w:rsidP="00B96CE3">
            <w:r w:rsidRPr="00DA080B">
              <w:t xml:space="preserve">Sub-activity 2.4 Media monitoring on reportage of SRHR topics  </w:t>
            </w:r>
          </w:p>
        </w:tc>
      </w:tr>
      <w:tr w:rsidR="00B96CE3" w:rsidTr="00B96CE3">
        <w:tc>
          <w:tcPr>
            <w:tcW w:w="7087" w:type="dxa"/>
            <w:shd w:val="clear" w:color="auto" w:fill="FDE9D9" w:themeFill="accent6" w:themeFillTint="33"/>
          </w:tcPr>
          <w:p w:rsidR="00B96CE3" w:rsidRPr="00DA080B" w:rsidRDefault="00B96CE3" w:rsidP="00B96CE3">
            <w:pPr>
              <w:rPr>
                <w:b/>
                <w:bCs/>
              </w:rPr>
            </w:pPr>
            <w:r w:rsidRPr="00DA080B">
              <w:rPr>
                <w:b/>
                <w:bCs/>
              </w:rPr>
              <w:t xml:space="preserve">Activity 4. Enhancing youth involvement on SRHR at a community level </w:t>
            </w:r>
          </w:p>
        </w:tc>
        <w:tc>
          <w:tcPr>
            <w:tcW w:w="7087" w:type="dxa"/>
          </w:tcPr>
          <w:p w:rsidR="00B96CE3" w:rsidRPr="00DA080B" w:rsidRDefault="00B96CE3" w:rsidP="00B96CE3">
            <w:pPr>
              <w:rPr>
                <w:b/>
                <w:bCs/>
              </w:rPr>
            </w:pPr>
            <w:r w:rsidRPr="00DA080B">
              <w:rPr>
                <w:b/>
                <w:bCs/>
              </w:rPr>
              <w:t> </w:t>
            </w:r>
          </w:p>
        </w:tc>
      </w:tr>
      <w:tr w:rsidR="00B96CE3" w:rsidTr="00B96CE3">
        <w:tc>
          <w:tcPr>
            <w:tcW w:w="7087" w:type="dxa"/>
          </w:tcPr>
          <w:p w:rsidR="00B96CE3" w:rsidRPr="00DA080B" w:rsidRDefault="00B96CE3" w:rsidP="00B96CE3">
            <w:r w:rsidRPr="00DA080B">
              <w:t>Sub-activity 4.1: Design a local government SRHR module which includes sexuality and SRHR policies</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Sub-activity 4.2: Develop youth and gender aware SRHR policies for local government</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Sub-activity 4.3: Develop/review local government action plans including SRHR and youth</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 xml:space="preserve">Sub-activity </w:t>
            </w:r>
            <w:proofErr w:type="spellStart"/>
            <w:r w:rsidRPr="00DA080B">
              <w:t>4.4:Hold</w:t>
            </w:r>
            <w:proofErr w:type="spellEnd"/>
            <w:r w:rsidRPr="00DA080B">
              <w:t xml:space="preserve"> local government training workshops on SRHR in service delivery including junior councillors in 425 local government COEs</w:t>
            </w:r>
          </w:p>
        </w:tc>
        <w:tc>
          <w:tcPr>
            <w:tcW w:w="7087" w:type="dxa"/>
          </w:tcPr>
          <w:p w:rsidR="00B96CE3" w:rsidRPr="00DA080B" w:rsidRDefault="00B96CE3" w:rsidP="00B96CE3">
            <w:r w:rsidRPr="00DA080B">
              <w:t> </w:t>
            </w:r>
          </w:p>
        </w:tc>
      </w:tr>
      <w:tr w:rsidR="00B96CE3" w:rsidTr="00B96CE3">
        <w:tc>
          <w:tcPr>
            <w:tcW w:w="7087" w:type="dxa"/>
            <w:shd w:val="clear" w:color="auto" w:fill="FDE9D9" w:themeFill="accent6" w:themeFillTint="33"/>
          </w:tcPr>
          <w:p w:rsidR="00B96CE3" w:rsidRPr="00DA080B" w:rsidRDefault="00B96CE3" w:rsidP="00B96CE3">
            <w:pPr>
              <w:rPr>
                <w:b/>
                <w:bCs/>
              </w:rPr>
            </w:pPr>
            <w:r w:rsidRPr="00DA080B">
              <w:rPr>
                <w:b/>
                <w:bCs/>
              </w:rPr>
              <w:t xml:space="preserve">Activity 5: Promote Youth Involvement in SRHR through IT use  </w:t>
            </w:r>
          </w:p>
        </w:tc>
        <w:tc>
          <w:tcPr>
            <w:tcW w:w="7087" w:type="dxa"/>
          </w:tcPr>
          <w:p w:rsidR="00B96CE3" w:rsidRPr="00DA080B" w:rsidRDefault="00B96CE3" w:rsidP="00B96CE3">
            <w:pPr>
              <w:rPr>
                <w:b/>
                <w:bCs/>
              </w:rPr>
            </w:pPr>
            <w:r w:rsidRPr="00DA080B">
              <w:rPr>
                <w:b/>
                <w:bCs/>
              </w:rPr>
              <w:t> </w:t>
            </w:r>
          </w:p>
        </w:tc>
      </w:tr>
      <w:tr w:rsidR="00B96CE3" w:rsidTr="00B96CE3">
        <w:tc>
          <w:tcPr>
            <w:tcW w:w="7087" w:type="dxa"/>
          </w:tcPr>
          <w:p w:rsidR="00B96CE3" w:rsidRPr="00DA080B" w:rsidRDefault="00B96CE3" w:rsidP="00B96CE3">
            <w:r w:rsidRPr="00DA080B">
              <w:t>Sub-activity 5.1: Hold podcasts on particular SRHR topic</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 xml:space="preserve">Sub-activity 5.2: Hold </w:t>
            </w:r>
            <w:proofErr w:type="spellStart"/>
            <w:r w:rsidRPr="00DA080B">
              <w:t>talkshows</w:t>
            </w:r>
            <w:proofErr w:type="spellEnd"/>
            <w:r w:rsidRPr="00DA080B">
              <w:t xml:space="preserve"> on particular SRHR topics</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 xml:space="preserve">Sub-activity 5.3: Conduct local community dramas on SRHR and upload the </w:t>
            </w:r>
            <w:r w:rsidRPr="00DA080B">
              <w:lastRenderedPageBreak/>
              <w:t>drama videos on website, social media and mobile technology</w:t>
            </w:r>
          </w:p>
        </w:tc>
        <w:tc>
          <w:tcPr>
            <w:tcW w:w="7087" w:type="dxa"/>
          </w:tcPr>
          <w:p w:rsidR="00B96CE3" w:rsidRPr="00DA080B" w:rsidRDefault="00B96CE3" w:rsidP="00B96CE3">
            <w:r w:rsidRPr="00DA080B">
              <w:lastRenderedPageBreak/>
              <w:t> </w:t>
            </w:r>
          </w:p>
        </w:tc>
      </w:tr>
      <w:tr w:rsidR="00B96CE3" w:rsidTr="00B96CE3">
        <w:tc>
          <w:tcPr>
            <w:tcW w:w="7087" w:type="dxa"/>
          </w:tcPr>
          <w:p w:rsidR="00B96CE3" w:rsidRPr="00DA080B" w:rsidRDefault="00B96CE3" w:rsidP="00B96CE3">
            <w:r w:rsidRPr="00DA080B">
              <w:lastRenderedPageBreak/>
              <w:t xml:space="preserve">Sub-activity 5.4: Hold youth focussed campaigns on social media </w:t>
            </w:r>
          </w:p>
        </w:tc>
        <w:tc>
          <w:tcPr>
            <w:tcW w:w="7087" w:type="dxa"/>
          </w:tcPr>
          <w:p w:rsidR="00B96CE3" w:rsidRPr="00DA080B" w:rsidRDefault="00B96CE3" w:rsidP="00B96CE3">
            <w:r w:rsidRPr="00DA080B">
              <w:t> </w:t>
            </w:r>
          </w:p>
        </w:tc>
      </w:tr>
      <w:tr w:rsidR="00B96CE3" w:rsidTr="00B96CE3">
        <w:tc>
          <w:tcPr>
            <w:tcW w:w="7087" w:type="dxa"/>
            <w:shd w:val="clear" w:color="auto" w:fill="FDE9D9" w:themeFill="accent6" w:themeFillTint="33"/>
          </w:tcPr>
          <w:p w:rsidR="00B96CE3" w:rsidRPr="00DA080B" w:rsidRDefault="00B96CE3" w:rsidP="00B96CE3">
            <w:pPr>
              <w:rPr>
                <w:b/>
                <w:bCs/>
              </w:rPr>
            </w:pPr>
            <w:r w:rsidRPr="00DA080B">
              <w:rPr>
                <w:b/>
                <w:bCs/>
              </w:rPr>
              <w:t>Activity 6: LEARNING, MONITORING &amp; EVALUATION</w:t>
            </w:r>
          </w:p>
        </w:tc>
        <w:tc>
          <w:tcPr>
            <w:tcW w:w="7087" w:type="dxa"/>
            <w:shd w:val="clear" w:color="auto" w:fill="FDE9D9" w:themeFill="accent6" w:themeFillTint="33"/>
          </w:tcPr>
          <w:p w:rsidR="00B96CE3" w:rsidRPr="00DA080B" w:rsidRDefault="00B96CE3" w:rsidP="00B96CE3">
            <w:pPr>
              <w:rPr>
                <w:b/>
                <w:bCs/>
              </w:rPr>
            </w:pPr>
            <w:r w:rsidRPr="00DA080B">
              <w:rPr>
                <w:b/>
                <w:bCs/>
              </w:rPr>
              <w:t>Activity 6: LEARNING, MONITORING &amp; EVALUATION</w:t>
            </w:r>
          </w:p>
        </w:tc>
      </w:tr>
      <w:tr w:rsidR="00B96CE3" w:rsidTr="00B96CE3">
        <w:tc>
          <w:tcPr>
            <w:tcW w:w="7087" w:type="dxa"/>
          </w:tcPr>
          <w:p w:rsidR="00B96CE3" w:rsidRPr="00DA080B" w:rsidRDefault="00B96CE3" w:rsidP="00B96CE3">
            <w:r w:rsidRPr="00DA080B">
              <w:t xml:space="preserve">Sub-activity 6.1: Develop a SRHR summit concept </w:t>
            </w:r>
          </w:p>
        </w:tc>
        <w:tc>
          <w:tcPr>
            <w:tcW w:w="7087" w:type="dxa"/>
          </w:tcPr>
          <w:p w:rsidR="00B96CE3" w:rsidRPr="00DA080B" w:rsidRDefault="00B96CE3" w:rsidP="00B96CE3">
            <w:r w:rsidRPr="00DA080B">
              <w:t xml:space="preserve">Sub-activity 6.1 Collect case studies on SRHR issues in SADC </w:t>
            </w:r>
          </w:p>
        </w:tc>
      </w:tr>
      <w:tr w:rsidR="00B96CE3" w:rsidTr="00B96CE3">
        <w:tc>
          <w:tcPr>
            <w:tcW w:w="7087" w:type="dxa"/>
          </w:tcPr>
          <w:p w:rsidR="00B96CE3" w:rsidRPr="00DA080B" w:rsidRDefault="00B96CE3" w:rsidP="00B96CE3">
            <w:r w:rsidRPr="00DA080B">
              <w:t xml:space="preserve">Sub-activity 6.2: Gather SRHR case studies from local government </w:t>
            </w:r>
          </w:p>
        </w:tc>
        <w:tc>
          <w:tcPr>
            <w:tcW w:w="7087" w:type="dxa"/>
          </w:tcPr>
          <w:p w:rsidR="00B96CE3" w:rsidRPr="00DA080B" w:rsidRDefault="00B96CE3" w:rsidP="00B96CE3">
            <w:r w:rsidRPr="00DA080B">
              <w:t xml:space="preserve">Sub-activity 6.2 Analyse case studies on SRHR </w:t>
            </w:r>
          </w:p>
        </w:tc>
      </w:tr>
      <w:tr w:rsidR="00B96CE3" w:rsidTr="00B96CE3">
        <w:tc>
          <w:tcPr>
            <w:tcW w:w="7087" w:type="dxa"/>
          </w:tcPr>
          <w:p w:rsidR="00B96CE3" w:rsidRPr="00DA080B" w:rsidRDefault="00B96CE3" w:rsidP="00B96CE3">
            <w:r w:rsidRPr="00DA080B">
              <w:t xml:space="preserve">Sub-activity 6.3: Launch call for participation at the SRHR summit </w:t>
            </w:r>
          </w:p>
        </w:tc>
        <w:tc>
          <w:tcPr>
            <w:tcW w:w="7087" w:type="dxa"/>
          </w:tcPr>
          <w:p w:rsidR="00B96CE3" w:rsidRPr="00DA080B" w:rsidRDefault="00B96CE3" w:rsidP="00B96CE3">
            <w:r w:rsidRPr="00DA080B">
              <w:t xml:space="preserve">Sub-activity  6.3 Compile </w:t>
            </w:r>
            <w:proofErr w:type="spellStart"/>
            <w:r w:rsidRPr="00DA080B">
              <w:t>montly</w:t>
            </w:r>
            <w:proofErr w:type="spellEnd"/>
            <w:r w:rsidRPr="00DA080B">
              <w:t xml:space="preserve"> M and E reporting related to the project </w:t>
            </w:r>
          </w:p>
        </w:tc>
      </w:tr>
      <w:tr w:rsidR="00B96CE3" w:rsidTr="00B96CE3">
        <w:tc>
          <w:tcPr>
            <w:tcW w:w="7087" w:type="dxa"/>
          </w:tcPr>
          <w:p w:rsidR="00B96CE3" w:rsidRPr="00DA080B" w:rsidRDefault="00B96CE3" w:rsidP="00B96CE3">
            <w:r w:rsidRPr="00DA080B">
              <w:t xml:space="preserve">Sub-activity 6.4: Organise and hold SRHR summits in target countries </w:t>
            </w:r>
          </w:p>
        </w:tc>
        <w:tc>
          <w:tcPr>
            <w:tcW w:w="7087" w:type="dxa"/>
          </w:tcPr>
          <w:p w:rsidR="00B96CE3" w:rsidRPr="00DA080B" w:rsidRDefault="00B96CE3" w:rsidP="00B96CE3">
            <w:r w:rsidRPr="00DA080B">
              <w:t xml:space="preserve">Sub-activity 6.4 Collect I stories </w:t>
            </w:r>
          </w:p>
        </w:tc>
      </w:tr>
      <w:tr w:rsidR="00B96CE3" w:rsidTr="00B96CE3">
        <w:tc>
          <w:tcPr>
            <w:tcW w:w="7087" w:type="dxa"/>
          </w:tcPr>
          <w:p w:rsidR="00B96CE3" w:rsidRPr="00DA080B" w:rsidRDefault="00B96CE3" w:rsidP="00B96CE3">
            <w:r w:rsidRPr="00DA080B">
              <w:t>Sub-activity 6.5: Write summit report outlining best practices</w:t>
            </w:r>
          </w:p>
        </w:tc>
        <w:tc>
          <w:tcPr>
            <w:tcW w:w="7087" w:type="dxa"/>
          </w:tcPr>
          <w:p w:rsidR="00B96CE3" w:rsidRPr="00DA080B" w:rsidRDefault="00B96CE3" w:rsidP="00B96CE3">
            <w:r w:rsidRPr="00DA080B">
              <w:t xml:space="preserve">Sub-activity 6.5 Produce a booklet on best practices across the region </w:t>
            </w:r>
          </w:p>
        </w:tc>
      </w:tr>
      <w:tr w:rsidR="00B96CE3" w:rsidTr="00B96CE3">
        <w:tc>
          <w:tcPr>
            <w:tcW w:w="7087" w:type="dxa"/>
          </w:tcPr>
          <w:p w:rsidR="00B96CE3" w:rsidRPr="00DA080B" w:rsidRDefault="00B96CE3" w:rsidP="00B96CE3">
            <w:r w:rsidRPr="00DA080B">
              <w:t xml:space="preserve">Sub-activity 6.6: Engage AmplifyChange grantees on SRHR strategies </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Sub-activity 6.7: Administer the SRHR local government score card and attitudes survey</w:t>
            </w:r>
          </w:p>
        </w:tc>
        <w:tc>
          <w:tcPr>
            <w:tcW w:w="7087" w:type="dxa"/>
          </w:tcPr>
          <w:p w:rsidR="00B96CE3" w:rsidRPr="00DA080B" w:rsidRDefault="00B96CE3" w:rsidP="00B96CE3">
            <w:r w:rsidRPr="00DA080B">
              <w:t> </w:t>
            </w:r>
          </w:p>
        </w:tc>
      </w:tr>
      <w:tr w:rsidR="00B96CE3" w:rsidTr="00B96CE3">
        <w:tc>
          <w:tcPr>
            <w:tcW w:w="7087" w:type="dxa"/>
          </w:tcPr>
          <w:p w:rsidR="00B96CE3" w:rsidRPr="00DA080B" w:rsidRDefault="00B96CE3" w:rsidP="00B96CE3">
            <w:r w:rsidRPr="00DA080B">
              <w:t xml:space="preserve">Sub-activity </w:t>
            </w:r>
            <w:proofErr w:type="spellStart"/>
            <w:r w:rsidRPr="00DA080B">
              <w:t>6.8:Analyse</w:t>
            </w:r>
            <w:proofErr w:type="spellEnd"/>
            <w:r w:rsidRPr="00DA080B">
              <w:t xml:space="preserve"> the SRHR local government score card and attitudes survey</w:t>
            </w:r>
          </w:p>
        </w:tc>
        <w:tc>
          <w:tcPr>
            <w:tcW w:w="7087" w:type="dxa"/>
          </w:tcPr>
          <w:p w:rsidR="00B96CE3" w:rsidRPr="00DA080B" w:rsidRDefault="00B96CE3" w:rsidP="00B96CE3">
            <w:r w:rsidRPr="00DA080B">
              <w:t> </w:t>
            </w:r>
            <w:bookmarkStart w:id="0" w:name="_GoBack"/>
            <w:bookmarkEnd w:id="0"/>
          </w:p>
        </w:tc>
      </w:tr>
      <w:tr w:rsidR="00B96CE3" w:rsidTr="006E76D3">
        <w:tc>
          <w:tcPr>
            <w:tcW w:w="7087" w:type="dxa"/>
            <w:shd w:val="clear" w:color="auto" w:fill="FDE9D9" w:themeFill="accent6" w:themeFillTint="33"/>
          </w:tcPr>
          <w:p w:rsidR="00B96CE3" w:rsidRPr="00DA080B" w:rsidRDefault="00B96CE3" w:rsidP="00B96CE3">
            <w:pPr>
              <w:rPr>
                <w:b/>
                <w:bCs/>
              </w:rPr>
            </w:pPr>
            <w:r w:rsidRPr="00DA080B">
              <w:rPr>
                <w:b/>
                <w:bCs/>
              </w:rPr>
              <w:t xml:space="preserve">Activity 8: ORGANISATIONAL </w:t>
            </w:r>
            <w:r w:rsidRPr="00DA080B">
              <w:rPr>
                <w:b/>
                <w:bCs/>
              </w:rPr>
              <w:t>S</w:t>
            </w:r>
            <w:r>
              <w:rPr>
                <w:b/>
                <w:bCs/>
              </w:rPr>
              <w:t>T</w:t>
            </w:r>
            <w:r w:rsidRPr="00DA080B">
              <w:rPr>
                <w:b/>
                <w:bCs/>
              </w:rPr>
              <w:t>RENGTHENING</w:t>
            </w:r>
            <w:r w:rsidRPr="00DA080B">
              <w:rPr>
                <w:b/>
                <w:bCs/>
              </w:rPr>
              <w:t xml:space="preserve"> / CAPACITY BUILDING / SUSTAINABILITY</w:t>
            </w:r>
          </w:p>
        </w:tc>
        <w:tc>
          <w:tcPr>
            <w:tcW w:w="7087" w:type="dxa"/>
            <w:shd w:val="clear" w:color="auto" w:fill="FDE9D9" w:themeFill="accent6" w:themeFillTint="33"/>
          </w:tcPr>
          <w:p w:rsidR="00B96CE3" w:rsidRPr="00DA080B" w:rsidRDefault="00B96CE3" w:rsidP="00B96CE3">
            <w:pPr>
              <w:rPr>
                <w:b/>
                <w:bCs/>
              </w:rPr>
            </w:pPr>
            <w:r w:rsidRPr="00DA080B">
              <w:rPr>
                <w:b/>
                <w:bCs/>
              </w:rPr>
              <w:t xml:space="preserve">Activity 7: ORGANISATIONAL </w:t>
            </w:r>
            <w:r w:rsidR="006E76D3" w:rsidRPr="00DA080B">
              <w:rPr>
                <w:b/>
                <w:bCs/>
              </w:rPr>
              <w:t>S</w:t>
            </w:r>
            <w:r w:rsidR="006E76D3">
              <w:rPr>
                <w:b/>
                <w:bCs/>
              </w:rPr>
              <w:t>TREN</w:t>
            </w:r>
            <w:r w:rsidR="006E76D3" w:rsidRPr="00DA080B">
              <w:rPr>
                <w:b/>
                <w:bCs/>
              </w:rPr>
              <w:t>G</w:t>
            </w:r>
            <w:r w:rsidR="006E76D3">
              <w:rPr>
                <w:b/>
                <w:bCs/>
              </w:rPr>
              <w:t>T</w:t>
            </w:r>
            <w:r w:rsidR="006E76D3" w:rsidRPr="00DA080B">
              <w:rPr>
                <w:b/>
                <w:bCs/>
              </w:rPr>
              <w:t>HENING</w:t>
            </w:r>
            <w:r w:rsidRPr="00DA080B">
              <w:rPr>
                <w:b/>
                <w:bCs/>
              </w:rPr>
              <w:t xml:space="preserve"> / CAPACITY BUILDING / SUSTAINABILITY</w:t>
            </w:r>
          </w:p>
        </w:tc>
      </w:tr>
      <w:tr w:rsidR="00B96CE3" w:rsidTr="00B96CE3">
        <w:tc>
          <w:tcPr>
            <w:tcW w:w="7087" w:type="dxa"/>
          </w:tcPr>
          <w:p w:rsidR="00B96CE3" w:rsidRPr="00DA080B" w:rsidRDefault="00B96CE3" w:rsidP="00B96CE3">
            <w:r w:rsidRPr="00DA080B">
              <w:t xml:space="preserve">Sub-activity 8.1: Prepare a fundraising toolkit for SRHR </w:t>
            </w:r>
          </w:p>
        </w:tc>
        <w:tc>
          <w:tcPr>
            <w:tcW w:w="7087" w:type="dxa"/>
          </w:tcPr>
          <w:p w:rsidR="00B96CE3" w:rsidRPr="00DA080B" w:rsidRDefault="00B96CE3" w:rsidP="00B96CE3">
            <w:r w:rsidRPr="00DA080B">
              <w:t xml:space="preserve">Sub-activity 7.1 Organisational capacity assessment , Organisational Development plan developed </w:t>
            </w:r>
          </w:p>
        </w:tc>
      </w:tr>
      <w:tr w:rsidR="00B96CE3" w:rsidTr="00B96CE3">
        <w:tc>
          <w:tcPr>
            <w:tcW w:w="7087" w:type="dxa"/>
          </w:tcPr>
          <w:p w:rsidR="00B96CE3" w:rsidRPr="00DA080B" w:rsidRDefault="00B96CE3" w:rsidP="00B96CE3">
            <w:r w:rsidRPr="00DA080B">
              <w:t xml:space="preserve">Sub-activity 8.2: Community of Practice discussion forums on SRHR </w:t>
            </w:r>
          </w:p>
        </w:tc>
        <w:tc>
          <w:tcPr>
            <w:tcW w:w="7087" w:type="dxa"/>
          </w:tcPr>
          <w:p w:rsidR="00B96CE3" w:rsidRPr="00DA080B" w:rsidRDefault="00B96CE3" w:rsidP="00B96CE3">
            <w:r w:rsidRPr="00DA080B">
              <w:t>Sub-activity 7.2 Organisation development training for small partner organisations</w:t>
            </w:r>
          </w:p>
        </w:tc>
      </w:tr>
      <w:tr w:rsidR="00B96CE3" w:rsidTr="00B96CE3">
        <w:tc>
          <w:tcPr>
            <w:tcW w:w="7087" w:type="dxa"/>
          </w:tcPr>
          <w:p w:rsidR="00B96CE3" w:rsidRPr="00DA080B" w:rsidRDefault="00B96CE3" w:rsidP="00B96CE3">
            <w:r w:rsidRPr="00DA080B">
              <w:t xml:space="preserve">Sub-activity 8.3: Identifying of key </w:t>
            </w:r>
            <w:proofErr w:type="spellStart"/>
            <w:r w:rsidRPr="00DA080B">
              <w:t>chapions</w:t>
            </w:r>
            <w:proofErr w:type="spellEnd"/>
            <w:r w:rsidRPr="00DA080B">
              <w:t xml:space="preserve"> SRHR at a national level (e.g. government ministers and celebrities)</w:t>
            </w:r>
          </w:p>
        </w:tc>
        <w:tc>
          <w:tcPr>
            <w:tcW w:w="7087" w:type="dxa"/>
          </w:tcPr>
          <w:p w:rsidR="00B96CE3" w:rsidRPr="00DA080B" w:rsidRDefault="00B96CE3" w:rsidP="00B96CE3">
            <w:r w:rsidRPr="00DA080B">
              <w:t xml:space="preserve">Sub-activity 7.3 Hold virtual meetings for small organisations per quarter </w:t>
            </w:r>
          </w:p>
        </w:tc>
      </w:tr>
      <w:tr w:rsidR="00B96CE3" w:rsidTr="00B96CE3">
        <w:tc>
          <w:tcPr>
            <w:tcW w:w="7087" w:type="dxa"/>
          </w:tcPr>
          <w:p w:rsidR="00B96CE3" w:rsidRPr="00DA080B" w:rsidRDefault="00B96CE3" w:rsidP="00B96CE3">
            <w:r w:rsidRPr="00DA080B">
              <w:t>Sub-activity 8.4: Hold interviews with SRHR champions and share these with potential funding partners.</w:t>
            </w:r>
          </w:p>
        </w:tc>
        <w:tc>
          <w:tcPr>
            <w:tcW w:w="7087" w:type="dxa"/>
          </w:tcPr>
          <w:p w:rsidR="00B96CE3" w:rsidRPr="00DA080B" w:rsidRDefault="00B96CE3" w:rsidP="00B96CE3">
            <w:r w:rsidRPr="00DA080B">
              <w:t>Sub-activity 7.4 Evaluate outcomes of the organisational development training of small organisations</w:t>
            </w:r>
          </w:p>
        </w:tc>
      </w:tr>
      <w:tr w:rsidR="00B96CE3" w:rsidTr="00B96CE3">
        <w:tc>
          <w:tcPr>
            <w:tcW w:w="7087" w:type="dxa"/>
          </w:tcPr>
          <w:p w:rsidR="00B96CE3" w:rsidRDefault="00B96CE3" w:rsidP="00B96CE3">
            <w:pPr>
              <w:jc w:val="center"/>
              <w:rPr>
                <w:rFonts w:ascii="Tahoma" w:hAnsi="Tahoma" w:cs="Tahoma"/>
                <w:b/>
              </w:rPr>
            </w:pPr>
          </w:p>
        </w:tc>
        <w:tc>
          <w:tcPr>
            <w:tcW w:w="7087" w:type="dxa"/>
          </w:tcPr>
          <w:p w:rsidR="00B96CE3" w:rsidRDefault="00B96CE3" w:rsidP="00B96CE3">
            <w:pPr>
              <w:jc w:val="center"/>
              <w:rPr>
                <w:rFonts w:ascii="Tahoma" w:hAnsi="Tahoma" w:cs="Tahoma"/>
                <w:b/>
              </w:rPr>
            </w:pPr>
          </w:p>
        </w:tc>
      </w:tr>
    </w:tbl>
    <w:p w:rsidR="00B96CE3" w:rsidRDefault="00B96CE3" w:rsidP="001A5806">
      <w:pPr>
        <w:spacing w:after="0" w:line="240" w:lineRule="auto"/>
        <w:jc w:val="center"/>
        <w:rPr>
          <w:rFonts w:ascii="Tahoma" w:hAnsi="Tahoma" w:cs="Tahoma"/>
          <w:b/>
        </w:rPr>
      </w:pPr>
    </w:p>
    <w:p w:rsidR="00484235" w:rsidRPr="001A5806" w:rsidRDefault="007D72FE" w:rsidP="001A5806">
      <w:pPr>
        <w:spacing w:after="0" w:line="240" w:lineRule="auto"/>
        <w:jc w:val="center"/>
        <w:rPr>
          <w:rFonts w:ascii="Tahoma" w:hAnsi="Tahoma" w:cs="Tahoma"/>
          <w:b/>
        </w:rPr>
      </w:pPr>
      <w:r>
        <w:rPr>
          <w:rFonts w:ascii="Tahoma" w:hAnsi="Tahoma" w:cs="Tahoma"/>
          <w:b/>
        </w:rPr>
        <w:fldChar w:fldCharType="begin"/>
      </w:r>
      <w:r w:rsidRPr="001A5806">
        <w:rPr>
          <w:rFonts w:ascii="Tahoma" w:hAnsi="Tahoma" w:cs="Tahoma"/>
          <w:b/>
        </w:rPr>
        <w:instrText xml:space="preserve"> LINK </w:instrText>
      </w:r>
      <w:r w:rsidR="00A61521">
        <w:rPr>
          <w:rFonts w:ascii="Tahoma" w:hAnsi="Tahoma" w:cs="Tahoma"/>
          <w:b/>
        </w:rPr>
        <w:instrText xml:space="preserve">Excel.Sheet.12 "C:\\Users\\Colleen\\OneDrive - No 9 Derrick Avenue\\CLM\\8. DONORS\\Amplify Change\\Strategic grant\\ACSTRATEGIC&amp;NETWORKINGGRANTS_clm_062018.xlsx" "Workplan Template!R1C1:R61C2" </w:instrText>
      </w:r>
      <w:r w:rsidRPr="001A5806">
        <w:rPr>
          <w:rFonts w:ascii="Tahoma" w:hAnsi="Tahoma" w:cs="Tahoma"/>
          <w:b/>
        </w:rPr>
        <w:instrText xml:space="preserve">\a \f 4 \h </w:instrText>
      </w:r>
      <w:r w:rsidR="00DE14D5" w:rsidRPr="001A5806">
        <w:rPr>
          <w:rFonts w:ascii="Tahoma" w:hAnsi="Tahoma" w:cs="Tahoma"/>
          <w:b/>
        </w:rPr>
        <w:instrText xml:space="preserve"> \* MERGEFORMAT </w:instrText>
      </w:r>
      <w:r>
        <w:rPr>
          <w:rFonts w:ascii="Tahoma" w:hAnsi="Tahoma" w:cs="Tahoma"/>
          <w:b/>
        </w:rPr>
        <w:fldChar w:fldCharType="separate"/>
      </w:r>
    </w:p>
    <w:p w:rsidR="00DA080B" w:rsidRDefault="007D72FE">
      <w:r>
        <w:fldChar w:fldCharType="end"/>
      </w:r>
    </w:p>
    <w:p w:rsidR="00F7100C" w:rsidRDefault="00F7100C">
      <w:pPr>
        <w:rPr>
          <w:rFonts w:ascii="Tahoma" w:hAnsi="Tahoma" w:cs="Tahoma"/>
          <w:b/>
        </w:rPr>
        <w:sectPr w:rsidR="00F7100C" w:rsidSect="007D72FE">
          <w:pgSz w:w="16838" w:h="11906" w:orient="landscape"/>
          <w:pgMar w:top="1440" w:right="1440" w:bottom="1440" w:left="1440" w:header="708" w:footer="708" w:gutter="0"/>
          <w:cols w:space="708"/>
          <w:docGrid w:linePitch="360"/>
        </w:sectPr>
      </w:pPr>
    </w:p>
    <w:p w:rsidR="0080576F" w:rsidRDefault="004368C2">
      <w:pPr>
        <w:rPr>
          <w:rFonts w:ascii="Tahoma" w:hAnsi="Tahoma" w:cs="Tahoma"/>
          <w:b/>
        </w:rPr>
      </w:pPr>
      <w:r w:rsidRPr="004368C2">
        <w:rPr>
          <w:rFonts w:ascii="Tahoma" w:hAnsi="Tahoma" w:cs="Tahoma"/>
          <w:b/>
        </w:rPr>
        <w:lastRenderedPageBreak/>
        <w:t xml:space="preserve">ANNEX C: </w:t>
      </w:r>
      <w:r w:rsidR="005212DF">
        <w:rPr>
          <w:rFonts w:ascii="Tahoma" w:hAnsi="Tahoma" w:cs="Tahoma"/>
          <w:b/>
        </w:rPr>
        <w:t xml:space="preserve">GL COUNTRY OFFICES AND ALLIANCE </w:t>
      </w:r>
      <w:r w:rsidR="00246A27">
        <w:rPr>
          <w:rFonts w:ascii="Tahoma" w:hAnsi="Tahoma" w:cs="Tahoma"/>
          <w:b/>
        </w:rPr>
        <w:t xml:space="preserve">FOCAL NETWORKS </w:t>
      </w:r>
    </w:p>
    <w:tbl>
      <w:tblPr>
        <w:tblStyle w:val="TableGrid1"/>
        <w:tblW w:w="10036" w:type="dxa"/>
        <w:tblInd w:w="-572" w:type="dxa"/>
        <w:tblLayout w:type="fixed"/>
        <w:tblLook w:val="04A0" w:firstRow="1" w:lastRow="0" w:firstColumn="1" w:lastColumn="0" w:noHBand="0" w:noVBand="1"/>
      </w:tblPr>
      <w:tblGrid>
        <w:gridCol w:w="1985"/>
        <w:gridCol w:w="2239"/>
        <w:gridCol w:w="2268"/>
        <w:gridCol w:w="3544"/>
      </w:tblGrid>
      <w:tr w:rsidR="00F7100C" w:rsidRPr="00F7100C" w:rsidTr="00246A27">
        <w:tc>
          <w:tcPr>
            <w:tcW w:w="1985" w:type="dxa"/>
            <w:shd w:val="clear" w:color="auto" w:fill="D9D9D9" w:themeFill="background1" w:themeFillShade="D9"/>
          </w:tcPr>
          <w:p w:rsidR="00F7100C" w:rsidRPr="00F7100C" w:rsidRDefault="00F7100C" w:rsidP="00F7100C">
            <w:pPr>
              <w:jc w:val="both"/>
              <w:rPr>
                <w:rFonts w:cs="Tahoma"/>
                <w:sz w:val="22"/>
                <w:szCs w:val="22"/>
              </w:rPr>
            </w:pPr>
            <w:r w:rsidRPr="00F7100C">
              <w:rPr>
                <w:rFonts w:cs="Tahoma"/>
                <w:b/>
                <w:sz w:val="22"/>
                <w:szCs w:val="22"/>
              </w:rPr>
              <w:t>COUNTRY</w:t>
            </w:r>
          </w:p>
        </w:tc>
        <w:tc>
          <w:tcPr>
            <w:tcW w:w="2239" w:type="dxa"/>
            <w:shd w:val="clear" w:color="auto" w:fill="D9D9D9" w:themeFill="background1" w:themeFillShade="D9"/>
          </w:tcPr>
          <w:p w:rsidR="00F7100C" w:rsidRPr="00F7100C" w:rsidRDefault="00F7100C" w:rsidP="00F7100C">
            <w:pPr>
              <w:jc w:val="both"/>
              <w:rPr>
                <w:rFonts w:cs="Tahoma"/>
                <w:sz w:val="22"/>
                <w:szCs w:val="22"/>
              </w:rPr>
            </w:pPr>
            <w:r w:rsidRPr="00F7100C">
              <w:rPr>
                <w:rFonts w:cs="Tahoma"/>
                <w:b/>
                <w:sz w:val="22"/>
                <w:szCs w:val="22"/>
              </w:rPr>
              <w:t>Alliance</w:t>
            </w:r>
            <w:r w:rsidR="005212DF">
              <w:rPr>
                <w:rFonts w:cs="Tahoma"/>
                <w:b/>
                <w:sz w:val="22"/>
                <w:szCs w:val="22"/>
              </w:rPr>
              <w:t xml:space="preserve"> Partner </w:t>
            </w:r>
          </w:p>
        </w:tc>
        <w:tc>
          <w:tcPr>
            <w:tcW w:w="2268" w:type="dxa"/>
            <w:shd w:val="clear" w:color="auto" w:fill="D9D9D9" w:themeFill="background1" w:themeFillShade="D9"/>
          </w:tcPr>
          <w:p w:rsidR="00F7100C" w:rsidRPr="00F7100C" w:rsidRDefault="00F7100C" w:rsidP="00F7100C">
            <w:pPr>
              <w:jc w:val="both"/>
              <w:rPr>
                <w:rFonts w:cs="Tahoma"/>
                <w:b/>
              </w:rPr>
            </w:pPr>
          </w:p>
        </w:tc>
        <w:tc>
          <w:tcPr>
            <w:tcW w:w="3544" w:type="dxa"/>
            <w:shd w:val="clear" w:color="auto" w:fill="D9D9D9" w:themeFill="background1" w:themeFillShade="D9"/>
          </w:tcPr>
          <w:p w:rsidR="00F7100C" w:rsidRPr="00F7100C" w:rsidRDefault="00F7100C" w:rsidP="00F7100C">
            <w:pPr>
              <w:jc w:val="both"/>
              <w:rPr>
                <w:rFonts w:cs="Tahoma"/>
                <w:b/>
              </w:rPr>
            </w:pPr>
          </w:p>
        </w:tc>
      </w:tr>
      <w:tr w:rsidR="00F7100C" w:rsidRPr="00F7100C" w:rsidTr="00246A27">
        <w:tc>
          <w:tcPr>
            <w:tcW w:w="4224" w:type="dxa"/>
            <w:gridSpan w:val="2"/>
            <w:shd w:val="clear" w:color="auto" w:fill="F2DBDB" w:themeFill="accent2" w:themeFillTint="33"/>
          </w:tcPr>
          <w:p w:rsidR="00F7100C" w:rsidRPr="005212DF" w:rsidRDefault="00F7100C" w:rsidP="00CC506B">
            <w:pPr>
              <w:jc w:val="both"/>
              <w:rPr>
                <w:rFonts w:cs="Tahoma"/>
                <w:b/>
              </w:rPr>
            </w:pPr>
            <w:r w:rsidRPr="005212DF">
              <w:rPr>
                <w:rFonts w:cs="Tahoma"/>
                <w:b/>
              </w:rPr>
              <w:t xml:space="preserve">GL HEAD OFFICE </w:t>
            </w:r>
          </w:p>
        </w:tc>
        <w:tc>
          <w:tcPr>
            <w:tcW w:w="2268" w:type="dxa"/>
            <w:shd w:val="clear" w:color="auto" w:fill="F2DBDB" w:themeFill="accent2" w:themeFillTint="33"/>
          </w:tcPr>
          <w:p w:rsidR="00F7100C" w:rsidRPr="00500BB6" w:rsidRDefault="005212DF" w:rsidP="00CC506B">
            <w:pPr>
              <w:jc w:val="both"/>
              <w:rPr>
                <w:rFonts w:cs="Tahoma"/>
                <w:b/>
              </w:rPr>
            </w:pPr>
            <w:r w:rsidRPr="00500BB6">
              <w:rPr>
                <w:rFonts w:cs="Tahoma"/>
                <w:b/>
              </w:rPr>
              <w:t xml:space="preserve">General </w:t>
            </w:r>
          </w:p>
        </w:tc>
        <w:tc>
          <w:tcPr>
            <w:tcW w:w="3544" w:type="dxa"/>
            <w:shd w:val="clear" w:color="auto" w:fill="F2DBDB" w:themeFill="accent2" w:themeFillTint="33"/>
          </w:tcPr>
          <w:p w:rsidR="00F7100C" w:rsidRPr="00500BB6" w:rsidRDefault="005212DF" w:rsidP="00CC506B">
            <w:pPr>
              <w:jc w:val="both"/>
              <w:rPr>
                <w:rFonts w:cs="Tahoma"/>
                <w:b/>
              </w:rPr>
            </w:pPr>
            <w:r w:rsidRPr="00500BB6">
              <w:rPr>
                <w:rFonts w:cs="Tahoma"/>
                <w:b/>
              </w:rPr>
              <w:t xml:space="preserve">Specific </w:t>
            </w:r>
          </w:p>
        </w:tc>
      </w:tr>
      <w:tr w:rsidR="005212DF" w:rsidRPr="00F7100C" w:rsidTr="00246A27">
        <w:tc>
          <w:tcPr>
            <w:tcW w:w="1985" w:type="dxa"/>
            <w:shd w:val="clear" w:color="auto" w:fill="D9D9D9" w:themeFill="background1" w:themeFillShade="D9"/>
          </w:tcPr>
          <w:p w:rsidR="005212DF" w:rsidRPr="00F7100C" w:rsidRDefault="005212DF" w:rsidP="00CC506B">
            <w:pPr>
              <w:jc w:val="both"/>
              <w:rPr>
                <w:rFonts w:cs="Tahoma"/>
                <w:b/>
                <w:sz w:val="22"/>
                <w:szCs w:val="22"/>
              </w:rPr>
            </w:pPr>
            <w:r w:rsidRPr="00F7100C">
              <w:rPr>
                <w:rFonts w:cs="Tahoma"/>
                <w:b/>
                <w:sz w:val="22"/>
                <w:szCs w:val="22"/>
              </w:rPr>
              <w:t>South Africa</w:t>
            </w:r>
          </w:p>
        </w:tc>
        <w:tc>
          <w:tcPr>
            <w:tcW w:w="2239" w:type="dxa"/>
          </w:tcPr>
          <w:p w:rsidR="005212DF" w:rsidRPr="00F7100C" w:rsidRDefault="005212DF" w:rsidP="00CC506B">
            <w:pPr>
              <w:jc w:val="both"/>
              <w:rPr>
                <w:rFonts w:cs="Tahoma"/>
                <w:sz w:val="22"/>
                <w:szCs w:val="22"/>
              </w:rPr>
            </w:pPr>
            <w:r w:rsidRPr="00F7100C">
              <w:rPr>
                <w:rFonts w:cs="Tahoma"/>
                <w:sz w:val="22"/>
                <w:szCs w:val="22"/>
              </w:rPr>
              <w:t>SAWID</w:t>
            </w:r>
          </w:p>
        </w:tc>
        <w:tc>
          <w:tcPr>
            <w:tcW w:w="2268" w:type="dxa"/>
            <w:vMerge w:val="restart"/>
          </w:tcPr>
          <w:p w:rsidR="005212DF" w:rsidRPr="00F7100C" w:rsidRDefault="005212DF" w:rsidP="00CC506B">
            <w:pPr>
              <w:jc w:val="both"/>
              <w:rPr>
                <w:rFonts w:cs="Tahoma"/>
              </w:rPr>
            </w:pPr>
            <w:r>
              <w:rPr>
                <w:rFonts w:cs="Tahoma"/>
              </w:rPr>
              <w:t xml:space="preserve">All financial transactions for logistic costs are paid directly through GL offices. </w:t>
            </w:r>
            <w:r w:rsidR="00D92CF2">
              <w:rPr>
                <w:rFonts w:cs="Tahoma"/>
              </w:rPr>
              <w:t xml:space="preserve">Other costs are managed through the normal contracting, payment on delivery process. </w:t>
            </w:r>
          </w:p>
        </w:tc>
        <w:tc>
          <w:tcPr>
            <w:tcW w:w="3544" w:type="dxa"/>
          </w:tcPr>
          <w:p w:rsidR="005212DF" w:rsidRPr="00F7100C" w:rsidRDefault="00D92CF2" w:rsidP="00CC506B">
            <w:pPr>
              <w:jc w:val="both"/>
              <w:rPr>
                <w:rFonts w:cs="Tahoma"/>
              </w:rPr>
            </w:pPr>
            <w:r>
              <w:rPr>
                <w:rFonts w:cs="Tahoma"/>
              </w:rPr>
              <w:t xml:space="preserve">Longstanding partnership, worked in all provinces together </w:t>
            </w:r>
          </w:p>
        </w:tc>
      </w:tr>
      <w:tr w:rsidR="005212DF" w:rsidRPr="00F7100C" w:rsidTr="00246A27">
        <w:tc>
          <w:tcPr>
            <w:tcW w:w="4224" w:type="dxa"/>
            <w:gridSpan w:val="2"/>
            <w:shd w:val="clear" w:color="auto" w:fill="E5B8B7" w:themeFill="accent2" w:themeFillTint="66"/>
          </w:tcPr>
          <w:p w:rsidR="005212DF" w:rsidRPr="005212DF" w:rsidRDefault="005212DF" w:rsidP="00F7100C">
            <w:pPr>
              <w:jc w:val="both"/>
              <w:rPr>
                <w:rFonts w:cs="Tahoma"/>
                <w:b/>
              </w:rPr>
            </w:pPr>
            <w:r w:rsidRPr="005212DF">
              <w:rPr>
                <w:rFonts w:cs="Tahoma"/>
                <w:b/>
              </w:rPr>
              <w:t xml:space="preserve">GL HAS OFFICES </w:t>
            </w:r>
          </w:p>
        </w:tc>
        <w:tc>
          <w:tcPr>
            <w:tcW w:w="2268" w:type="dxa"/>
            <w:vMerge/>
            <w:shd w:val="clear" w:color="auto" w:fill="E5B8B7" w:themeFill="accent2" w:themeFillTint="66"/>
          </w:tcPr>
          <w:p w:rsidR="005212DF" w:rsidRPr="00F7100C" w:rsidRDefault="005212DF" w:rsidP="00F7100C">
            <w:pPr>
              <w:jc w:val="both"/>
              <w:rPr>
                <w:rFonts w:cs="Tahoma"/>
              </w:rPr>
            </w:pPr>
          </w:p>
        </w:tc>
        <w:tc>
          <w:tcPr>
            <w:tcW w:w="3544" w:type="dxa"/>
            <w:shd w:val="clear" w:color="auto" w:fill="E5B8B7" w:themeFill="accent2" w:themeFillTint="66"/>
          </w:tcPr>
          <w:p w:rsidR="005212DF" w:rsidRPr="00F7100C" w:rsidRDefault="005212DF" w:rsidP="00F7100C">
            <w:pPr>
              <w:jc w:val="both"/>
              <w:rPr>
                <w:rFonts w:cs="Tahoma"/>
              </w:rPr>
            </w:pPr>
          </w:p>
        </w:tc>
      </w:tr>
      <w:tr w:rsidR="005212DF" w:rsidRPr="00F7100C" w:rsidTr="00246A27">
        <w:tc>
          <w:tcPr>
            <w:tcW w:w="1985" w:type="dxa"/>
            <w:shd w:val="clear" w:color="auto" w:fill="D9D9D9" w:themeFill="background1" w:themeFillShade="D9"/>
          </w:tcPr>
          <w:p w:rsidR="005212DF" w:rsidRPr="00F7100C" w:rsidRDefault="005212DF" w:rsidP="00F7100C">
            <w:pPr>
              <w:jc w:val="both"/>
              <w:rPr>
                <w:rFonts w:cs="Tahoma"/>
                <w:b/>
                <w:sz w:val="22"/>
                <w:szCs w:val="22"/>
              </w:rPr>
            </w:pPr>
            <w:r w:rsidRPr="00F7100C">
              <w:rPr>
                <w:rFonts w:cs="Tahoma"/>
                <w:b/>
                <w:sz w:val="22"/>
                <w:szCs w:val="22"/>
              </w:rPr>
              <w:t>Botswana</w:t>
            </w:r>
          </w:p>
        </w:tc>
        <w:tc>
          <w:tcPr>
            <w:tcW w:w="2239" w:type="dxa"/>
          </w:tcPr>
          <w:p w:rsidR="005212DF" w:rsidRPr="00F7100C" w:rsidRDefault="005212DF" w:rsidP="00F7100C">
            <w:pPr>
              <w:jc w:val="both"/>
              <w:rPr>
                <w:rFonts w:cs="Tahoma"/>
                <w:sz w:val="22"/>
                <w:szCs w:val="22"/>
              </w:rPr>
            </w:pPr>
            <w:proofErr w:type="spellStart"/>
            <w:r w:rsidRPr="00F7100C">
              <w:rPr>
                <w:rFonts w:cs="Tahoma"/>
                <w:sz w:val="22"/>
                <w:szCs w:val="22"/>
              </w:rPr>
              <w:t>BOCONGO</w:t>
            </w:r>
            <w:proofErr w:type="spellEnd"/>
          </w:p>
        </w:tc>
        <w:tc>
          <w:tcPr>
            <w:tcW w:w="2268" w:type="dxa"/>
            <w:vMerge/>
          </w:tcPr>
          <w:p w:rsidR="005212DF" w:rsidRPr="00F7100C" w:rsidRDefault="005212DF" w:rsidP="00F7100C">
            <w:pPr>
              <w:jc w:val="both"/>
              <w:rPr>
                <w:rFonts w:cs="Tahoma"/>
              </w:rPr>
            </w:pPr>
          </w:p>
        </w:tc>
        <w:tc>
          <w:tcPr>
            <w:tcW w:w="3544" w:type="dxa"/>
          </w:tcPr>
          <w:p w:rsidR="005212DF" w:rsidRPr="00F7100C" w:rsidRDefault="00D92CF2" w:rsidP="00F7100C">
            <w:pPr>
              <w:jc w:val="both"/>
              <w:rPr>
                <w:rFonts w:cs="Tahoma"/>
              </w:rPr>
            </w:pPr>
            <w:r>
              <w:rPr>
                <w:rFonts w:cs="Tahoma"/>
              </w:rPr>
              <w:t xml:space="preserve">Long standing partnership, campaigned for signing of Protocol. </w:t>
            </w: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sz w:val="22"/>
                <w:szCs w:val="22"/>
              </w:rPr>
            </w:pPr>
            <w:r w:rsidRPr="00F7100C">
              <w:rPr>
                <w:rFonts w:cs="Tahoma"/>
                <w:b/>
                <w:sz w:val="22"/>
                <w:szCs w:val="22"/>
              </w:rPr>
              <w:t>Lesotho</w:t>
            </w:r>
          </w:p>
        </w:tc>
        <w:tc>
          <w:tcPr>
            <w:tcW w:w="2239" w:type="dxa"/>
          </w:tcPr>
          <w:p w:rsidR="00246A27" w:rsidRPr="00F7100C" w:rsidRDefault="00246A27" w:rsidP="00F7100C">
            <w:pPr>
              <w:jc w:val="both"/>
              <w:rPr>
                <w:rFonts w:cs="Tahoma"/>
                <w:sz w:val="22"/>
                <w:szCs w:val="22"/>
              </w:rPr>
            </w:pPr>
            <w:r w:rsidRPr="00F7100C">
              <w:rPr>
                <w:rFonts w:cs="Tahoma"/>
                <w:sz w:val="22"/>
                <w:szCs w:val="22"/>
              </w:rPr>
              <w:t>WLSA Lesotho</w:t>
            </w:r>
          </w:p>
        </w:tc>
        <w:tc>
          <w:tcPr>
            <w:tcW w:w="2268" w:type="dxa"/>
            <w:vMerge/>
          </w:tcPr>
          <w:p w:rsidR="00246A27" w:rsidRPr="00F7100C" w:rsidRDefault="00246A27" w:rsidP="00F7100C">
            <w:pPr>
              <w:jc w:val="both"/>
              <w:rPr>
                <w:rFonts w:cs="Tahoma"/>
              </w:rPr>
            </w:pPr>
          </w:p>
        </w:tc>
        <w:tc>
          <w:tcPr>
            <w:tcW w:w="3544" w:type="dxa"/>
            <w:vMerge w:val="restart"/>
          </w:tcPr>
          <w:p w:rsidR="00246A27" w:rsidRPr="00F7100C" w:rsidRDefault="00246A27" w:rsidP="00F7100C">
            <w:pPr>
              <w:jc w:val="both"/>
              <w:rPr>
                <w:rFonts w:cs="Tahoma"/>
              </w:rPr>
            </w:pPr>
            <w:r>
              <w:rPr>
                <w:rFonts w:cs="Tahoma"/>
              </w:rPr>
              <w:t xml:space="preserve">Long standing collaboration including local </w:t>
            </w:r>
            <w:proofErr w:type="spellStart"/>
            <w:r>
              <w:rPr>
                <w:rFonts w:cs="Tahoma"/>
              </w:rPr>
              <w:t>gvt</w:t>
            </w:r>
            <w:proofErr w:type="spellEnd"/>
            <w:r>
              <w:rPr>
                <w:rFonts w:cs="Tahoma"/>
              </w:rPr>
              <w:t xml:space="preserve"> work </w:t>
            </w: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sz w:val="22"/>
                <w:szCs w:val="22"/>
              </w:rPr>
            </w:pPr>
            <w:r w:rsidRPr="00F7100C">
              <w:rPr>
                <w:rFonts w:cs="Tahoma"/>
                <w:b/>
                <w:sz w:val="22"/>
                <w:szCs w:val="22"/>
              </w:rPr>
              <w:t>Madagascar</w:t>
            </w:r>
          </w:p>
        </w:tc>
        <w:tc>
          <w:tcPr>
            <w:tcW w:w="2239" w:type="dxa"/>
          </w:tcPr>
          <w:p w:rsidR="00246A27" w:rsidRPr="00F7100C" w:rsidRDefault="00246A27" w:rsidP="00F7100C">
            <w:pPr>
              <w:jc w:val="both"/>
              <w:rPr>
                <w:rFonts w:cs="Tahoma"/>
                <w:sz w:val="22"/>
                <w:szCs w:val="22"/>
              </w:rPr>
            </w:pPr>
            <w:proofErr w:type="spellStart"/>
            <w:r w:rsidRPr="00F7100C">
              <w:rPr>
                <w:rFonts w:cs="Tahoma"/>
                <w:sz w:val="22"/>
                <w:szCs w:val="22"/>
              </w:rPr>
              <w:t>FPPE</w:t>
            </w:r>
            <w:proofErr w:type="spellEnd"/>
          </w:p>
        </w:tc>
        <w:tc>
          <w:tcPr>
            <w:tcW w:w="2268" w:type="dxa"/>
            <w:vMerge/>
          </w:tcPr>
          <w:p w:rsidR="00246A27" w:rsidRPr="00F7100C" w:rsidRDefault="00246A27" w:rsidP="00F7100C">
            <w:pPr>
              <w:jc w:val="both"/>
              <w:rPr>
                <w:rFonts w:cs="Tahoma"/>
              </w:rPr>
            </w:pPr>
          </w:p>
        </w:tc>
        <w:tc>
          <w:tcPr>
            <w:tcW w:w="3544" w:type="dxa"/>
            <w:vMerge/>
          </w:tcPr>
          <w:p w:rsidR="00246A27" w:rsidRPr="00F7100C" w:rsidRDefault="00246A27" w:rsidP="00F7100C">
            <w:pPr>
              <w:jc w:val="both"/>
              <w:rPr>
                <w:rFonts w:cs="Tahoma"/>
              </w:rPr>
            </w:pP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sz w:val="22"/>
                <w:szCs w:val="22"/>
              </w:rPr>
            </w:pPr>
            <w:r w:rsidRPr="00F7100C">
              <w:rPr>
                <w:rFonts w:cs="Tahoma"/>
                <w:b/>
                <w:sz w:val="22"/>
                <w:szCs w:val="22"/>
              </w:rPr>
              <w:t>Mauritius</w:t>
            </w:r>
          </w:p>
        </w:tc>
        <w:tc>
          <w:tcPr>
            <w:tcW w:w="2239" w:type="dxa"/>
          </w:tcPr>
          <w:p w:rsidR="00246A27" w:rsidRPr="00F7100C" w:rsidRDefault="00246A27" w:rsidP="00F7100C">
            <w:pPr>
              <w:jc w:val="both"/>
              <w:rPr>
                <w:rFonts w:cs="Tahoma"/>
                <w:sz w:val="22"/>
                <w:szCs w:val="22"/>
              </w:rPr>
            </w:pPr>
            <w:proofErr w:type="spellStart"/>
            <w:r>
              <w:rPr>
                <w:rFonts w:cs="Tahoma"/>
                <w:sz w:val="22"/>
                <w:szCs w:val="22"/>
              </w:rPr>
              <w:t>MWO</w:t>
            </w:r>
            <w:proofErr w:type="spellEnd"/>
            <w:r>
              <w:rPr>
                <w:rFonts w:cs="Tahoma"/>
                <w:sz w:val="22"/>
                <w:szCs w:val="22"/>
              </w:rPr>
              <w:t xml:space="preserve"> </w:t>
            </w:r>
          </w:p>
        </w:tc>
        <w:tc>
          <w:tcPr>
            <w:tcW w:w="2268" w:type="dxa"/>
            <w:vMerge/>
          </w:tcPr>
          <w:p w:rsidR="00246A27" w:rsidRPr="00F7100C" w:rsidRDefault="00246A27" w:rsidP="00F7100C">
            <w:pPr>
              <w:jc w:val="both"/>
              <w:rPr>
                <w:rFonts w:cs="Tahoma"/>
              </w:rPr>
            </w:pPr>
          </w:p>
        </w:tc>
        <w:tc>
          <w:tcPr>
            <w:tcW w:w="3544" w:type="dxa"/>
            <w:vMerge/>
          </w:tcPr>
          <w:p w:rsidR="00246A27" w:rsidRPr="00F7100C" w:rsidRDefault="00246A27" w:rsidP="00F7100C">
            <w:pPr>
              <w:jc w:val="both"/>
              <w:rPr>
                <w:rFonts w:cs="Tahoma"/>
              </w:rPr>
            </w:pP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sz w:val="22"/>
                <w:szCs w:val="22"/>
              </w:rPr>
            </w:pPr>
            <w:r w:rsidRPr="00F7100C">
              <w:rPr>
                <w:rFonts w:cs="Tahoma"/>
                <w:b/>
                <w:sz w:val="22"/>
                <w:szCs w:val="22"/>
              </w:rPr>
              <w:t>Mozambique</w:t>
            </w:r>
          </w:p>
        </w:tc>
        <w:tc>
          <w:tcPr>
            <w:tcW w:w="2239" w:type="dxa"/>
          </w:tcPr>
          <w:p w:rsidR="00246A27" w:rsidRPr="00F7100C" w:rsidRDefault="00246A27" w:rsidP="00F7100C">
            <w:pPr>
              <w:jc w:val="both"/>
              <w:rPr>
                <w:rFonts w:cs="Tahoma"/>
                <w:sz w:val="22"/>
                <w:szCs w:val="22"/>
              </w:rPr>
            </w:pPr>
            <w:r w:rsidRPr="00F7100C">
              <w:rPr>
                <w:rFonts w:cs="Tahoma"/>
                <w:sz w:val="22"/>
                <w:szCs w:val="22"/>
              </w:rPr>
              <w:t xml:space="preserve">Forum </w:t>
            </w:r>
            <w:proofErr w:type="spellStart"/>
            <w:r w:rsidRPr="00F7100C">
              <w:rPr>
                <w:rFonts w:cs="Tahoma"/>
                <w:sz w:val="22"/>
                <w:szCs w:val="22"/>
              </w:rPr>
              <w:t>Mulher</w:t>
            </w:r>
            <w:proofErr w:type="spellEnd"/>
          </w:p>
        </w:tc>
        <w:tc>
          <w:tcPr>
            <w:tcW w:w="2268" w:type="dxa"/>
            <w:vMerge/>
          </w:tcPr>
          <w:p w:rsidR="00246A27" w:rsidRPr="00F7100C" w:rsidRDefault="00246A27" w:rsidP="00F7100C">
            <w:pPr>
              <w:jc w:val="both"/>
              <w:rPr>
                <w:rFonts w:cs="Tahoma"/>
              </w:rPr>
            </w:pPr>
          </w:p>
        </w:tc>
        <w:tc>
          <w:tcPr>
            <w:tcW w:w="3544" w:type="dxa"/>
            <w:vMerge/>
          </w:tcPr>
          <w:p w:rsidR="00246A27" w:rsidRPr="00F7100C" w:rsidRDefault="00246A27" w:rsidP="00F7100C">
            <w:pPr>
              <w:jc w:val="both"/>
              <w:rPr>
                <w:rFonts w:cs="Tahoma"/>
              </w:rPr>
            </w:pPr>
          </w:p>
        </w:tc>
      </w:tr>
      <w:tr w:rsidR="005212DF" w:rsidRPr="00F7100C" w:rsidTr="00246A27">
        <w:tc>
          <w:tcPr>
            <w:tcW w:w="1985" w:type="dxa"/>
            <w:shd w:val="clear" w:color="auto" w:fill="D9D9D9" w:themeFill="background1" w:themeFillShade="D9"/>
          </w:tcPr>
          <w:p w:rsidR="005212DF" w:rsidRPr="00F7100C" w:rsidRDefault="005212DF" w:rsidP="00CC506B">
            <w:pPr>
              <w:jc w:val="both"/>
              <w:rPr>
                <w:rFonts w:cs="Tahoma"/>
                <w:b/>
                <w:sz w:val="22"/>
                <w:szCs w:val="22"/>
              </w:rPr>
            </w:pPr>
            <w:r w:rsidRPr="00F7100C">
              <w:rPr>
                <w:rFonts w:cs="Tahoma"/>
                <w:b/>
                <w:sz w:val="22"/>
                <w:szCs w:val="22"/>
              </w:rPr>
              <w:t>Swaziland</w:t>
            </w:r>
          </w:p>
        </w:tc>
        <w:tc>
          <w:tcPr>
            <w:tcW w:w="2239" w:type="dxa"/>
          </w:tcPr>
          <w:p w:rsidR="005212DF" w:rsidRPr="00F7100C" w:rsidRDefault="005212DF" w:rsidP="00CC506B">
            <w:pPr>
              <w:jc w:val="both"/>
              <w:rPr>
                <w:rFonts w:cs="Tahoma"/>
                <w:sz w:val="22"/>
                <w:szCs w:val="22"/>
              </w:rPr>
            </w:pPr>
            <w:proofErr w:type="spellStart"/>
            <w:r w:rsidRPr="00F7100C">
              <w:rPr>
                <w:rFonts w:cs="Tahoma"/>
                <w:sz w:val="22"/>
                <w:szCs w:val="22"/>
              </w:rPr>
              <w:t>CANGO</w:t>
            </w:r>
            <w:proofErr w:type="spellEnd"/>
          </w:p>
        </w:tc>
        <w:tc>
          <w:tcPr>
            <w:tcW w:w="2268" w:type="dxa"/>
            <w:vMerge/>
          </w:tcPr>
          <w:p w:rsidR="005212DF" w:rsidRPr="00F7100C" w:rsidRDefault="005212DF" w:rsidP="00F7100C">
            <w:pPr>
              <w:jc w:val="both"/>
              <w:rPr>
                <w:rFonts w:cs="Tahoma"/>
              </w:rPr>
            </w:pPr>
          </w:p>
        </w:tc>
        <w:tc>
          <w:tcPr>
            <w:tcW w:w="3544" w:type="dxa"/>
          </w:tcPr>
          <w:p w:rsidR="005212DF" w:rsidRPr="00F7100C" w:rsidRDefault="00246A27" w:rsidP="00F7100C">
            <w:pPr>
              <w:jc w:val="both"/>
              <w:rPr>
                <w:rFonts w:cs="Tahoma"/>
              </w:rPr>
            </w:pPr>
            <w:r>
              <w:rPr>
                <w:rFonts w:cs="Tahoma"/>
              </w:rPr>
              <w:t xml:space="preserve">General NGO Network – women’s sector presently weak </w:t>
            </w:r>
          </w:p>
        </w:tc>
      </w:tr>
      <w:tr w:rsidR="005212DF" w:rsidRPr="00F7100C" w:rsidTr="00246A27">
        <w:tc>
          <w:tcPr>
            <w:tcW w:w="1985" w:type="dxa"/>
            <w:shd w:val="clear" w:color="auto" w:fill="D9D9D9" w:themeFill="background1" w:themeFillShade="D9"/>
          </w:tcPr>
          <w:p w:rsidR="005212DF" w:rsidRPr="00F7100C" w:rsidRDefault="005212DF" w:rsidP="00CC506B">
            <w:pPr>
              <w:jc w:val="both"/>
              <w:rPr>
                <w:rFonts w:cs="Tahoma"/>
                <w:b/>
                <w:sz w:val="22"/>
                <w:szCs w:val="22"/>
              </w:rPr>
            </w:pPr>
            <w:r w:rsidRPr="00F7100C">
              <w:rPr>
                <w:rFonts w:cs="Tahoma"/>
                <w:b/>
                <w:sz w:val="22"/>
                <w:szCs w:val="22"/>
              </w:rPr>
              <w:t>Zimbabwe</w:t>
            </w:r>
          </w:p>
        </w:tc>
        <w:tc>
          <w:tcPr>
            <w:tcW w:w="2239" w:type="dxa"/>
          </w:tcPr>
          <w:p w:rsidR="005212DF" w:rsidRPr="00F7100C" w:rsidRDefault="005212DF" w:rsidP="00CC506B">
            <w:pPr>
              <w:jc w:val="both"/>
              <w:rPr>
                <w:rFonts w:cs="Tahoma"/>
                <w:sz w:val="22"/>
                <w:szCs w:val="22"/>
              </w:rPr>
            </w:pPr>
            <w:r w:rsidRPr="00F7100C">
              <w:rPr>
                <w:rFonts w:cs="Tahoma"/>
                <w:sz w:val="22"/>
                <w:szCs w:val="22"/>
              </w:rPr>
              <w:t>Women’s Coalition of Zimbabwe</w:t>
            </w:r>
          </w:p>
        </w:tc>
        <w:tc>
          <w:tcPr>
            <w:tcW w:w="2268" w:type="dxa"/>
            <w:vMerge/>
          </w:tcPr>
          <w:p w:rsidR="005212DF" w:rsidRPr="00F7100C" w:rsidRDefault="005212DF" w:rsidP="00CC506B">
            <w:pPr>
              <w:jc w:val="both"/>
              <w:rPr>
                <w:rFonts w:cs="Tahoma"/>
              </w:rPr>
            </w:pPr>
          </w:p>
        </w:tc>
        <w:tc>
          <w:tcPr>
            <w:tcW w:w="3544" w:type="dxa"/>
          </w:tcPr>
          <w:p w:rsidR="005212DF" w:rsidRPr="00F7100C" w:rsidRDefault="00246A27" w:rsidP="00CC506B">
            <w:pPr>
              <w:jc w:val="both"/>
              <w:rPr>
                <w:rFonts w:cs="Tahoma"/>
              </w:rPr>
            </w:pPr>
            <w:r>
              <w:rPr>
                <w:rFonts w:cs="Tahoma"/>
              </w:rPr>
              <w:t xml:space="preserve">Strong coalition, produce own country Barometer with GL support </w:t>
            </w:r>
          </w:p>
        </w:tc>
      </w:tr>
      <w:tr w:rsidR="005212DF" w:rsidRPr="00F7100C" w:rsidTr="00246A27">
        <w:tc>
          <w:tcPr>
            <w:tcW w:w="4224" w:type="dxa"/>
            <w:gridSpan w:val="2"/>
            <w:shd w:val="clear" w:color="auto" w:fill="CCC0D9" w:themeFill="accent4" w:themeFillTint="66"/>
          </w:tcPr>
          <w:p w:rsidR="005212DF" w:rsidRPr="005212DF" w:rsidRDefault="005212DF" w:rsidP="00F7100C">
            <w:pPr>
              <w:jc w:val="both"/>
              <w:rPr>
                <w:rFonts w:cs="Tahoma"/>
                <w:b/>
                <w:sz w:val="22"/>
                <w:szCs w:val="22"/>
              </w:rPr>
            </w:pPr>
            <w:r w:rsidRPr="005212DF">
              <w:rPr>
                <w:rFonts w:cs="Tahoma"/>
                <w:b/>
                <w:sz w:val="22"/>
                <w:szCs w:val="22"/>
              </w:rPr>
              <w:t xml:space="preserve">GL HAS PROJECT SITES </w:t>
            </w:r>
          </w:p>
        </w:tc>
        <w:tc>
          <w:tcPr>
            <w:tcW w:w="2268" w:type="dxa"/>
            <w:shd w:val="clear" w:color="auto" w:fill="CCC0D9" w:themeFill="accent4" w:themeFillTint="66"/>
          </w:tcPr>
          <w:p w:rsidR="005212DF" w:rsidRPr="00F7100C" w:rsidRDefault="005212DF" w:rsidP="00F7100C">
            <w:pPr>
              <w:jc w:val="both"/>
              <w:rPr>
                <w:rFonts w:cs="Tahoma"/>
              </w:rPr>
            </w:pPr>
          </w:p>
        </w:tc>
        <w:tc>
          <w:tcPr>
            <w:tcW w:w="3544" w:type="dxa"/>
            <w:shd w:val="clear" w:color="auto" w:fill="CCC0D9" w:themeFill="accent4" w:themeFillTint="66"/>
          </w:tcPr>
          <w:p w:rsidR="005212DF" w:rsidRPr="00F7100C" w:rsidRDefault="005212DF" w:rsidP="00F7100C">
            <w:pPr>
              <w:jc w:val="both"/>
              <w:rPr>
                <w:rFonts w:cs="Tahoma"/>
              </w:rPr>
            </w:pPr>
          </w:p>
        </w:tc>
      </w:tr>
      <w:tr w:rsidR="00D92CF2" w:rsidRPr="00F7100C" w:rsidTr="00246A27">
        <w:tc>
          <w:tcPr>
            <w:tcW w:w="1985" w:type="dxa"/>
            <w:shd w:val="clear" w:color="auto" w:fill="D9D9D9" w:themeFill="background1" w:themeFillShade="D9"/>
          </w:tcPr>
          <w:p w:rsidR="00D92CF2" w:rsidRPr="00F7100C" w:rsidRDefault="00D92CF2" w:rsidP="00F7100C">
            <w:pPr>
              <w:jc w:val="both"/>
              <w:rPr>
                <w:rFonts w:cs="Tahoma"/>
                <w:b/>
                <w:sz w:val="22"/>
                <w:szCs w:val="22"/>
              </w:rPr>
            </w:pPr>
            <w:r w:rsidRPr="00F7100C">
              <w:rPr>
                <w:rFonts w:cs="Tahoma"/>
                <w:b/>
                <w:sz w:val="22"/>
                <w:szCs w:val="22"/>
              </w:rPr>
              <w:t>Namibia</w:t>
            </w:r>
          </w:p>
        </w:tc>
        <w:tc>
          <w:tcPr>
            <w:tcW w:w="2239" w:type="dxa"/>
          </w:tcPr>
          <w:p w:rsidR="00D92CF2" w:rsidRPr="00F7100C" w:rsidRDefault="00D92CF2" w:rsidP="00F7100C">
            <w:pPr>
              <w:jc w:val="both"/>
              <w:rPr>
                <w:rFonts w:cs="Tahoma"/>
                <w:sz w:val="22"/>
                <w:szCs w:val="22"/>
              </w:rPr>
            </w:pPr>
            <w:r w:rsidRPr="00F7100C">
              <w:rPr>
                <w:rFonts w:cs="Tahoma"/>
                <w:sz w:val="22"/>
                <w:szCs w:val="22"/>
              </w:rPr>
              <w:t>NANGOF</w:t>
            </w:r>
          </w:p>
        </w:tc>
        <w:tc>
          <w:tcPr>
            <w:tcW w:w="2268" w:type="dxa"/>
            <w:vMerge w:val="restart"/>
          </w:tcPr>
          <w:p w:rsidR="00D92CF2" w:rsidRPr="00F7100C" w:rsidRDefault="00D92CF2" w:rsidP="00F7100C">
            <w:pPr>
              <w:jc w:val="both"/>
              <w:rPr>
                <w:rFonts w:cs="Tahoma"/>
              </w:rPr>
            </w:pPr>
            <w:r>
              <w:rPr>
                <w:rFonts w:cs="Tahoma"/>
              </w:rPr>
              <w:t xml:space="preserve">GL sub-contracts partners on specific deliverables. Where possible logistic costs </w:t>
            </w:r>
            <w:proofErr w:type="spellStart"/>
            <w:r>
              <w:rPr>
                <w:rFonts w:cs="Tahoma"/>
              </w:rPr>
              <w:t>eg</w:t>
            </w:r>
            <w:proofErr w:type="spellEnd"/>
            <w:r>
              <w:rPr>
                <w:rFonts w:cs="Tahoma"/>
              </w:rPr>
              <w:t xml:space="preserve"> venues are paid directly. If managed by partners, three quotes must be presented and recommendation approved by GL. All reporting accompanied by </w:t>
            </w:r>
            <w:proofErr w:type="spellStart"/>
            <w:r>
              <w:rPr>
                <w:rFonts w:cs="Tahoma"/>
              </w:rPr>
              <w:t>rcpts</w:t>
            </w:r>
            <w:proofErr w:type="spellEnd"/>
            <w:r>
              <w:rPr>
                <w:rFonts w:cs="Tahoma"/>
              </w:rPr>
              <w:t xml:space="preserve"> as per finance guide in contract. </w:t>
            </w:r>
          </w:p>
        </w:tc>
        <w:tc>
          <w:tcPr>
            <w:tcW w:w="3544" w:type="dxa"/>
          </w:tcPr>
          <w:p w:rsidR="00D92CF2" w:rsidRPr="00F7100C" w:rsidRDefault="00246A27" w:rsidP="00F7100C">
            <w:pPr>
              <w:jc w:val="both"/>
              <w:rPr>
                <w:rFonts w:cs="Tahoma"/>
              </w:rPr>
            </w:pPr>
            <w:r>
              <w:rPr>
                <w:rFonts w:cs="Tahoma"/>
              </w:rPr>
              <w:t>General NGO Network – women’s sector presently weak</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sz w:val="22"/>
                <w:szCs w:val="22"/>
              </w:rPr>
            </w:pPr>
            <w:r w:rsidRPr="00F7100C">
              <w:rPr>
                <w:rFonts w:cs="Tahoma"/>
                <w:b/>
                <w:sz w:val="22"/>
                <w:szCs w:val="22"/>
              </w:rPr>
              <w:t>Zambia</w:t>
            </w:r>
          </w:p>
        </w:tc>
        <w:tc>
          <w:tcPr>
            <w:tcW w:w="2239" w:type="dxa"/>
          </w:tcPr>
          <w:p w:rsidR="00246A27" w:rsidRPr="00F7100C" w:rsidRDefault="00246A27" w:rsidP="00CC506B">
            <w:pPr>
              <w:jc w:val="both"/>
              <w:rPr>
                <w:rFonts w:cs="Tahoma"/>
                <w:sz w:val="22"/>
                <w:szCs w:val="22"/>
              </w:rPr>
            </w:pPr>
            <w:proofErr w:type="spellStart"/>
            <w:r>
              <w:rPr>
                <w:rFonts w:cs="Tahoma"/>
                <w:sz w:val="22"/>
                <w:szCs w:val="22"/>
              </w:rPr>
              <w:t>NGOCC</w:t>
            </w:r>
            <w:proofErr w:type="spellEnd"/>
            <w:r>
              <w:rPr>
                <w:rFonts w:cs="Tahoma"/>
                <w:sz w:val="22"/>
                <w:szCs w:val="22"/>
              </w:rPr>
              <w:t xml:space="preserve"> through </w:t>
            </w:r>
            <w:r w:rsidRPr="00F7100C">
              <w:rPr>
                <w:rFonts w:cs="Tahoma"/>
                <w:sz w:val="22"/>
                <w:szCs w:val="22"/>
              </w:rPr>
              <w:t>WLSA Zambia</w:t>
            </w:r>
          </w:p>
        </w:tc>
        <w:tc>
          <w:tcPr>
            <w:tcW w:w="2268" w:type="dxa"/>
            <w:vMerge/>
          </w:tcPr>
          <w:p w:rsidR="00246A27" w:rsidRPr="00F7100C" w:rsidRDefault="00246A27" w:rsidP="00CC506B">
            <w:pPr>
              <w:jc w:val="both"/>
              <w:rPr>
                <w:rFonts w:cs="Tahoma"/>
              </w:rPr>
            </w:pPr>
          </w:p>
        </w:tc>
        <w:tc>
          <w:tcPr>
            <w:tcW w:w="3544" w:type="dxa"/>
          </w:tcPr>
          <w:p w:rsidR="00246A27" w:rsidRPr="00F7100C" w:rsidRDefault="00246A27" w:rsidP="00CC506B">
            <w:pPr>
              <w:jc w:val="both"/>
              <w:rPr>
                <w:rFonts w:cs="Tahoma"/>
              </w:rPr>
            </w:pPr>
            <w:r>
              <w:rPr>
                <w:rFonts w:cs="Tahoma"/>
              </w:rPr>
              <w:t xml:space="preserve">Long standing collaboration including local </w:t>
            </w:r>
            <w:proofErr w:type="spellStart"/>
            <w:r>
              <w:rPr>
                <w:rFonts w:cs="Tahoma"/>
              </w:rPr>
              <w:t>gvt</w:t>
            </w:r>
            <w:proofErr w:type="spellEnd"/>
            <w:r>
              <w:rPr>
                <w:rFonts w:cs="Tahoma"/>
              </w:rPr>
              <w:t xml:space="preserve"> work. GL Board Member chairs </w:t>
            </w:r>
            <w:proofErr w:type="spellStart"/>
            <w:r>
              <w:rPr>
                <w:rFonts w:cs="Tahoma"/>
              </w:rPr>
              <w:t>NGOCC</w:t>
            </w:r>
            <w:proofErr w:type="spellEnd"/>
          </w:p>
        </w:tc>
      </w:tr>
      <w:tr w:rsidR="00246A27" w:rsidRPr="00F7100C" w:rsidTr="00246A27">
        <w:tc>
          <w:tcPr>
            <w:tcW w:w="4224" w:type="dxa"/>
            <w:gridSpan w:val="2"/>
            <w:shd w:val="clear" w:color="auto" w:fill="B6DDE8" w:themeFill="accent5" w:themeFillTint="66"/>
          </w:tcPr>
          <w:p w:rsidR="00246A27" w:rsidRPr="00F7100C" w:rsidRDefault="00246A27" w:rsidP="00F7100C">
            <w:pPr>
              <w:jc w:val="both"/>
              <w:rPr>
                <w:rFonts w:cs="Tahoma"/>
                <w:b/>
                <w:sz w:val="22"/>
                <w:szCs w:val="22"/>
              </w:rPr>
            </w:pPr>
            <w:r w:rsidRPr="005212DF">
              <w:rPr>
                <w:rFonts w:cs="Tahoma"/>
                <w:b/>
                <w:sz w:val="22"/>
                <w:szCs w:val="22"/>
              </w:rPr>
              <w:t xml:space="preserve">GL HAS NO OFFICES </w:t>
            </w:r>
          </w:p>
        </w:tc>
        <w:tc>
          <w:tcPr>
            <w:tcW w:w="2268" w:type="dxa"/>
            <w:vMerge/>
            <w:shd w:val="clear" w:color="auto" w:fill="B6DDE8" w:themeFill="accent5" w:themeFillTint="66"/>
          </w:tcPr>
          <w:p w:rsidR="00246A27" w:rsidRPr="00F7100C" w:rsidRDefault="00246A27" w:rsidP="00F7100C">
            <w:pPr>
              <w:jc w:val="both"/>
              <w:rPr>
                <w:rFonts w:cs="Tahoma"/>
              </w:rPr>
            </w:pPr>
          </w:p>
        </w:tc>
        <w:tc>
          <w:tcPr>
            <w:tcW w:w="3544" w:type="dxa"/>
            <w:shd w:val="clear" w:color="auto" w:fill="B6DDE8" w:themeFill="accent5" w:themeFillTint="66"/>
          </w:tcPr>
          <w:p w:rsidR="00246A27" w:rsidRPr="00F7100C" w:rsidRDefault="00246A27" w:rsidP="00F7100C">
            <w:pPr>
              <w:jc w:val="both"/>
              <w:rPr>
                <w:rFonts w:cs="Tahoma"/>
              </w:rPr>
            </w:pPr>
          </w:p>
        </w:tc>
      </w:tr>
      <w:tr w:rsidR="00246A27" w:rsidRPr="00F7100C" w:rsidTr="00246A27">
        <w:tc>
          <w:tcPr>
            <w:tcW w:w="1985" w:type="dxa"/>
            <w:shd w:val="clear" w:color="auto" w:fill="D9D9D9" w:themeFill="background1" w:themeFillShade="D9"/>
          </w:tcPr>
          <w:p w:rsidR="00246A27" w:rsidRPr="00F7100C" w:rsidRDefault="00246A27" w:rsidP="00F7100C">
            <w:pPr>
              <w:jc w:val="both"/>
              <w:rPr>
                <w:rFonts w:cs="Tahoma"/>
                <w:b/>
              </w:rPr>
            </w:pPr>
            <w:r>
              <w:rPr>
                <w:rFonts w:cs="Tahoma"/>
                <w:b/>
              </w:rPr>
              <w:t xml:space="preserve">Angola </w:t>
            </w:r>
          </w:p>
        </w:tc>
        <w:tc>
          <w:tcPr>
            <w:tcW w:w="2239" w:type="dxa"/>
          </w:tcPr>
          <w:p w:rsidR="00246A27" w:rsidRPr="00F7100C" w:rsidRDefault="00246A27" w:rsidP="00F7100C">
            <w:pPr>
              <w:jc w:val="both"/>
              <w:rPr>
                <w:rFonts w:cs="Tahoma"/>
              </w:rPr>
            </w:pPr>
            <w:r>
              <w:rPr>
                <w:rFonts w:cs="Tahoma"/>
              </w:rPr>
              <w:t xml:space="preserve">PMU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 xml:space="preserve">Recently joined Alliance, very enthusiastic, M and E improved dramatically </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rPr>
            </w:pPr>
            <w:r>
              <w:rPr>
                <w:rFonts w:cs="Tahoma"/>
                <w:b/>
              </w:rPr>
              <w:t xml:space="preserve">DRC </w:t>
            </w:r>
          </w:p>
        </w:tc>
        <w:tc>
          <w:tcPr>
            <w:tcW w:w="2239" w:type="dxa"/>
          </w:tcPr>
          <w:p w:rsidR="00246A27" w:rsidRPr="00F7100C" w:rsidRDefault="00246A27" w:rsidP="00F7100C">
            <w:pPr>
              <w:jc w:val="both"/>
              <w:rPr>
                <w:rFonts w:cs="Tahoma"/>
              </w:rPr>
            </w:pPr>
            <w:proofErr w:type="spellStart"/>
            <w:r>
              <w:rPr>
                <w:rFonts w:cs="Tahoma"/>
              </w:rPr>
              <w:t>UCOFEM</w:t>
            </w:r>
            <w:proofErr w:type="spellEnd"/>
            <w:r>
              <w:rPr>
                <w:rFonts w:cs="Tahoma"/>
              </w:rPr>
              <w:t xml:space="preserve">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 xml:space="preserve">Long standing partnership – media network </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rPr>
            </w:pPr>
            <w:r>
              <w:rPr>
                <w:rFonts w:cs="Tahoma"/>
                <w:b/>
              </w:rPr>
              <w:t xml:space="preserve">Malawi </w:t>
            </w:r>
          </w:p>
        </w:tc>
        <w:tc>
          <w:tcPr>
            <w:tcW w:w="2239" w:type="dxa"/>
          </w:tcPr>
          <w:p w:rsidR="00246A27" w:rsidRPr="00F7100C" w:rsidRDefault="00246A27" w:rsidP="00F7100C">
            <w:pPr>
              <w:jc w:val="both"/>
              <w:rPr>
                <w:rFonts w:cs="Tahoma"/>
              </w:rPr>
            </w:pPr>
            <w:proofErr w:type="spellStart"/>
            <w:r>
              <w:rPr>
                <w:rFonts w:cs="Tahoma"/>
              </w:rPr>
              <w:t>NGOGCN</w:t>
            </w:r>
            <w:proofErr w:type="spellEnd"/>
            <w:r>
              <w:rPr>
                <w:rFonts w:cs="Tahoma"/>
              </w:rPr>
              <w:t xml:space="preserve">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 xml:space="preserve">Long standing partnership, chair of the network is chair of the Alliance; GL Board Member. </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rPr>
            </w:pPr>
            <w:r>
              <w:rPr>
                <w:rFonts w:cs="Tahoma"/>
                <w:b/>
              </w:rPr>
              <w:t xml:space="preserve">Tanzania </w:t>
            </w:r>
          </w:p>
        </w:tc>
        <w:tc>
          <w:tcPr>
            <w:tcW w:w="2239" w:type="dxa"/>
          </w:tcPr>
          <w:p w:rsidR="00246A27" w:rsidRPr="00F7100C" w:rsidRDefault="00246A27" w:rsidP="00F7100C">
            <w:pPr>
              <w:jc w:val="both"/>
              <w:rPr>
                <w:rFonts w:cs="Tahoma"/>
              </w:rPr>
            </w:pPr>
            <w:proofErr w:type="spellStart"/>
            <w:r>
              <w:rPr>
                <w:rFonts w:cs="Tahoma"/>
              </w:rPr>
              <w:t>TGNP</w:t>
            </w:r>
            <w:proofErr w:type="spellEnd"/>
            <w:r>
              <w:rPr>
                <w:rFonts w:cs="Tahoma"/>
              </w:rPr>
              <w:t xml:space="preserve">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Long standing partnership</w:t>
            </w:r>
          </w:p>
        </w:tc>
      </w:tr>
      <w:tr w:rsidR="00246A27" w:rsidRPr="00F7100C" w:rsidTr="00246A27">
        <w:tc>
          <w:tcPr>
            <w:tcW w:w="1985" w:type="dxa"/>
            <w:shd w:val="clear" w:color="auto" w:fill="D9D9D9" w:themeFill="background1" w:themeFillShade="D9"/>
          </w:tcPr>
          <w:p w:rsidR="00246A27" w:rsidRPr="00F7100C" w:rsidRDefault="00246A27" w:rsidP="00CC506B">
            <w:pPr>
              <w:jc w:val="both"/>
              <w:rPr>
                <w:rFonts w:cs="Tahoma"/>
                <w:b/>
              </w:rPr>
            </w:pPr>
            <w:r>
              <w:rPr>
                <w:rFonts w:cs="Tahoma"/>
                <w:b/>
              </w:rPr>
              <w:t xml:space="preserve">Seychelles </w:t>
            </w:r>
          </w:p>
        </w:tc>
        <w:tc>
          <w:tcPr>
            <w:tcW w:w="2239" w:type="dxa"/>
          </w:tcPr>
          <w:p w:rsidR="00246A27" w:rsidRPr="00F7100C" w:rsidRDefault="00246A27" w:rsidP="00F7100C">
            <w:pPr>
              <w:jc w:val="both"/>
              <w:rPr>
                <w:rFonts w:cs="Tahoma"/>
              </w:rPr>
            </w:pPr>
            <w:r>
              <w:rPr>
                <w:rFonts w:cs="Tahoma"/>
              </w:rPr>
              <w:t xml:space="preserve">GEM Plus </w:t>
            </w:r>
          </w:p>
        </w:tc>
        <w:tc>
          <w:tcPr>
            <w:tcW w:w="2268" w:type="dxa"/>
            <w:vMerge/>
          </w:tcPr>
          <w:p w:rsidR="00246A27" w:rsidRPr="00F7100C" w:rsidRDefault="00246A27" w:rsidP="00F7100C">
            <w:pPr>
              <w:jc w:val="both"/>
              <w:rPr>
                <w:rFonts w:cs="Tahoma"/>
              </w:rPr>
            </w:pPr>
          </w:p>
        </w:tc>
        <w:tc>
          <w:tcPr>
            <w:tcW w:w="3544" w:type="dxa"/>
          </w:tcPr>
          <w:p w:rsidR="00246A27" w:rsidRPr="00F7100C" w:rsidRDefault="00246A27" w:rsidP="00F7100C">
            <w:pPr>
              <w:jc w:val="both"/>
              <w:rPr>
                <w:rFonts w:cs="Tahoma"/>
              </w:rPr>
            </w:pPr>
            <w:r>
              <w:rPr>
                <w:rFonts w:cs="Tahoma"/>
              </w:rPr>
              <w:t>Long standing partnership – media network</w:t>
            </w:r>
          </w:p>
        </w:tc>
      </w:tr>
    </w:tbl>
    <w:p w:rsidR="004368C2" w:rsidRDefault="004368C2">
      <w:pPr>
        <w:rPr>
          <w:rFonts w:ascii="Tahoma" w:hAnsi="Tahoma" w:cs="Tahoma"/>
          <w:b/>
        </w:rPr>
      </w:pPr>
    </w:p>
    <w:p w:rsidR="00500BB6" w:rsidRDefault="00500BB6">
      <w:pPr>
        <w:rPr>
          <w:rFonts w:ascii="Tahoma" w:hAnsi="Tahoma" w:cs="Tahoma"/>
          <w:b/>
        </w:rPr>
      </w:pPr>
      <w:r>
        <w:rPr>
          <w:rFonts w:ascii="Tahoma" w:hAnsi="Tahoma" w:cs="Tahoma"/>
          <w:b/>
        </w:rPr>
        <w:br w:type="page"/>
      </w:r>
    </w:p>
    <w:p w:rsidR="00E67D5A" w:rsidRPr="00CE4443" w:rsidRDefault="003F2879" w:rsidP="00E67D5A">
      <w:pPr>
        <w:spacing w:after="0" w:line="240" w:lineRule="auto"/>
        <w:jc w:val="center"/>
        <w:rPr>
          <w:rFonts w:ascii="Tahoma" w:eastAsia="Times New Roman" w:hAnsi="Tahoma" w:cs="Tahoma"/>
          <w:b/>
          <w:lang w:eastAsia="en-GB"/>
        </w:rPr>
      </w:pPr>
      <w:r>
        <w:rPr>
          <w:rFonts w:ascii="Tahoma" w:eastAsia="Times New Roman" w:hAnsi="Tahoma" w:cs="Tahoma"/>
          <w:b/>
          <w:lang w:eastAsia="en-GB"/>
        </w:rPr>
        <w:lastRenderedPageBreak/>
        <w:t xml:space="preserve">Connecting the </w:t>
      </w:r>
      <w:r w:rsidR="00E67D5A" w:rsidRPr="00CE4443">
        <w:rPr>
          <w:rFonts w:ascii="Tahoma" w:eastAsia="Times New Roman" w:hAnsi="Tahoma" w:cs="Tahoma"/>
          <w:b/>
          <w:lang w:eastAsia="en-GB"/>
        </w:rPr>
        <w:t>dots on SRHR in Southern Africa</w:t>
      </w:r>
    </w:p>
    <w:p w:rsidR="00E67D5A" w:rsidRPr="00DC67E0" w:rsidRDefault="00E67D5A" w:rsidP="00E67D5A">
      <w:pPr>
        <w:spacing w:after="0" w:line="240" w:lineRule="auto"/>
        <w:jc w:val="center"/>
        <w:rPr>
          <w:rFonts w:ascii="Tahoma" w:eastAsia="Times New Roman" w:hAnsi="Tahoma" w:cs="Tahoma"/>
          <w:b/>
          <w:lang w:eastAsia="en-GB"/>
        </w:rPr>
      </w:pPr>
      <w:r w:rsidRPr="00DC67E0">
        <w:rPr>
          <w:rFonts w:ascii="Tahoma" w:eastAsia="Times New Roman" w:hAnsi="Tahoma" w:cs="Tahoma"/>
          <w:b/>
          <w:lang w:eastAsia="en-GB"/>
        </w:rPr>
        <w:t>Gender Links Case Study</w:t>
      </w:r>
    </w:p>
    <w:p w:rsidR="00E67D5A" w:rsidRPr="00DC67E0" w:rsidRDefault="00E67D5A" w:rsidP="00E67D5A">
      <w:pPr>
        <w:spacing w:after="0" w:line="240" w:lineRule="auto"/>
        <w:jc w:val="center"/>
        <w:rPr>
          <w:rFonts w:ascii="Tahoma" w:eastAsia="Times New Roman" w:hAnsi="Tahoma" w:cs="Tahoma"/>
          <w:b/>
          <w:lang w:eastAsia="en-GB"/>
        </w:rPr>
      </w:pPr>
    </w:p>
    <w:p w:rsidR="00E67D5A" w:rsidRPr="0057256C" w:rsidRDefault="00E67D5A" w:rsidP="00E67D5A">
      <w:pPr>
        <w:spacing w:after="0" w:line="240" w:lineRule="auto"/>
        <w:jc w:val="both"/>
        <w:rPr>
          <w:rFonts w:ascii="Tahoma" w:eastAsia="Times New Roman" w:hAnsi="Tahoma" w:cs="Tahoma"/>
          <w:lang w:eastAsia="en-GB"/>
        </w:rPr>
      </w:pPr>
      <w:r w:rsidRPr="00DC67E0">
        <w:rPr>
          <w:rFonts w:ascii="Tahoma" w:eastAsia="Times New Roman" w:hAnsi="Tahoma" w:cs="Tahoma"/>
          <w:noProof/>
          <w:lang w:eastAsia="en-GB"/>
        </w:rPr>
        <mc:AlternateContent>
          <mc:Choice Requires="wps">
            <w:drawing>
              <wp:anchor distT="0" distB="0" distL="114300" distR="114300" simplePos="0" relativeHeight="251670528" behindDoc="0" locked="0" layoutInCell="1" allowOverlap="1" wp14:anchorId="522FA22E" wp14:editId="086DAD9C">
                <wp:simplePos x="0" y="0"/>
                <wp:positionH relativeFrom="column">
                  <wp:posOffset>-10160</wp:posOffset>
                </wp:positionH>
                <wp:positionV relativeFrom="paragraph">
                  <wp:posOffset>26670</wp:posOffset>
                </wp:positionV>
                <wp:extent cx="3000375" cy="2209800"/>
                <wp:effectExtent l="0" t="0" r="28575" b="19050"/>
                <wp:wrapSquare wrapText="bothSides"/>
                <wp:docPr id="19" name="Text Box 19"/>
                <wp:cNvGraphicFramePr/>
                <a:graphic xmlns:a="http://schemas.openxmlformats.org/drawingml/2006/main">
                  <a:graphicData uri="http://schemas.microsoft.com/office/word/2010/wordprocessingShape">
                    <wps:wsp>
                      <wps:cNvSpPr txBox="1"/>
                      <wps:spPr>
                        <a:xfrm>
                          <a:off x="0" y="0"/>
                          <a:ext cx="3000375" cy="2209800"/>
                        </a:xfrm>
                        <a:prstGeom prst="rect">
                          <a:avLst/>
                        </a:prstGeom>
                        <a:solidFill>
                          <a:sysClr val="window" lastClr="FFFFFF"/>
                        </a:solidFill>
                        <a:ln w="6350">
                          <a:solidFill>
                            <a:prstClr val="black"/>
                          </a:solidFill>
                        </a:ln>
                        <a:effectLst/>
                      </wps:spPr>
                      <wps:txbx>
                        <w:txbxContent>
                          <w:p w:rsidR="00E67D5A" w:rsidRDefault="00E67D5A" w:rsidP="00E67D5A">
                            <w:pPr>
                              <w:keepNext/>
                            </w:pPr>
                            <w:r>
                              <w:rPr>
                                <w:noProof/>
                                <w:lang w:eastAsia="en-GB"/>
                              </w:rPr>
                              <w:drawing>
                                <wp:inline distT="0" distB="0" distL="0" distR="0" wp14:anchorId="1FF76337" wp14:editId="70A5EBC0">
                                  <wp:extent cx="2847975" cy="2136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23).JPG"/>
                                          <pic:cNvPicPr/>
                                        </pic:nvPicPr>
                                        <pic:blipFill>
                                          <a:blip r:embed="rId10" cstate="email">
                                            <a:extLst>
                                              <a:ext uri="{28A0092B-C50C-407E-A947-70E740481C1C}">
                                                <a14:useLocalDpi xmlns:a14="http://schemas.microsoft.com/office/drawing/2010/main"/>
                                              </a:ext>
                                            </a:extLst>
                                          </a:blip>
                                          <a:stretch>
                                            <a:fillRect/>
                                          </a:stretch>
                                        </pic:blipFill>
                                        <pic:spPr>
                                          <a:xfrm>
                                            <a:off x="0" y="0"/>
                                            <a:ext cx="2850085" cy="2137960"/>
                                          </a:xfrm>
                                          <a:prstGeom prst="rect">
                                            <a:avLst/>
                                          </a:prstGeom>
                                        </pic:spPr>
                                      </pic:pic>
                                    </a:graphicData>
                                  </a:graphic>
                                </wp:inline>
                              </w:drawing>
                            </w:r>
                          </w:p>
                          <w:p w:rsidR="00E67D5A" w:rsidRDefault="00E67D5A" w:rsidP="00E67D5A">
                            <w:pPr>
                              <w:pStyle w:val="Caption"/>
                              <w:jc w:val="both"/>
                            </w:pPr>
                            <w:r>
                              <w:t xml:space="preserve">Figure </w:t>
                            </w:r>
                            <w:r>
                              <w:fldChar w:fldCharType="begin"/>
                            </w:r>
                            <w:r>
                              <w:instrText xml:space="preserve"> SEQ Figure \* ARABIC </w:instrText>
                            </w:r>
                            <w:r>
                              <w:fldChar w:fldCharType="separate"/>
                            </w:r>
                            <w:r w:rsidR="00DA080B">
                              <w:rPr>
                                <w:noProof/>
                              </w:rPr>
                              <w:t>1</w:t>
                            </w:r>
                            <w:r>
                              <w:rPr>
                                <w:noProof/>
                              </w:rPr>
                              <w:fldChar w:fldCharType="end"/>
                            </w:r>
                          </w:p>
                          <w:p w:rsidR="00E67D5A" w:rsidRDefault="00E67D5A" w:rsidP="00E67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8pt;margin-top:2.1pt;width:236.25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" fillcolor="window" strokeweight=".5pt">
                <v:textbox>
                  <w:txbxContent>
                    <w:p w:rsidR="00E67D5A" w:rsidRDefault="00E67D5A" w:rsidP="00E67D5A">
                      <w:pPr>
                        <w:keepNext/>
                      </w:pPr>
                      <w:r>
                        <w:rPr>
                          <w:noProof/>
                          <w:lang w:eastAsia="en-GB"/>
                        </w:rPr>
                        <w:drawing>
                          <wp:inline distT="0" distB="0" distL="0" distR="0" wp14:anchorId="1FF76337" wp14:editId="70A5EBC0">
                            <wp:extent cx="2847975" cy="2136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23).JPG"/>
                                    <pic:cNvPicPr/>
                                  </pic:nvPicPr>
                                  <pic:blipFill>
                                    <a:blip r:embed="rId10" cstate="email">
                                      <a:extLst>
                                        <a:ext uri="{28A0092B-C50C-407E-A947-70E740481C1C}">
                                          <a14:useLocalDpi xmlns:a14="http://schemas.microsoft.com/office/drawing/2010/main"/>
                                        </a:ext>
                                      </a:extLst>
                                    </a:blip>
                                    <a:stretch>
                                      <a:fillRect/>
                                    </a:stretch>
                                  </pic:blipFill>
                                  <pic:spPr>
                                    <a:xfrm>
                                      <a:off x="0" y="0"/>
                                      <a:ext cx="2850085" cy="2137960"/>
                                    </a:xfrm>
                                    <a:prstGeom prst="rect">
                                      <a:avLst/>
                                    </a:prstGeom>
                                  </pic:spPr>
                                </pic:pic>
                              </a:graphicData>
                            </a:graphic>
                          </wp:inline>
                        </w:drawing>
                      </w:r>
                    </w:p>
                    <w:p w:rsidR="00E67D5A" w:rsidRDefault="00E67D5A" w:rsidP="00E67D5A">
                      <w:pPr>
                        <w:pStyle w:val="Caption"/>
                        <w:jc w:val="both"/>
                      </w:pPr>
                      <w:r>
                        <w:t xml:space="preserve">Figure </w:t>
                      </w:r>
                      <w:r>
                        <w:fldChar w:fldCharType="begin"/>
                      </w:r>
                      <w:r>
                        <w:instrText xml:space="preserve"> SEQ Figure \* ARABIC </w:instrText>
                      </w:r>
                      <w:r>
                        <w:fldChar w:fldCharType="separate"/>
                      </w:r>
                      <w:r w:rsidR="00DA080B">
                        <w:rPr>
                          <w:noProof/>
                        </w:rPr>
                        <w:t>1</w:t>
                      </w:r>
                      <w:r>
                        <w:rPr>
                          <w:noProof/>
                        </w:rPr>
                        <w:fldChar w:fldCharType="end"/>
                      </w:r>
                    </w:p>
                    <w:p w:rsidR="00E67D5A" w:rsidRDefault="00E67D5A" w:rsidP="00E67D5A"/>
                  </w:txbxContent>
                </v:textbox>
                <w10:wrap type="square"/>
              </v:shape>
            </w:pict>
          </mc:Fallback>
        </mc:AlternateContent>
      </w:r>
      <w:r w:rsidRPr="00DC67E0">
        <w:rPr>
          <w:rFonts w:ascii="Tahoma" w:eastAsia="Times New Roman" w:hAnsi="Tahoma" w:cs="Tahoma"/>
          <w:lang w:eastAsia="en-GB"/>
        </w:rPr>
        <w:t>This case study demonstrates the unique way in which Gender Links</w:t>
      </w:r>
      <w:r>
        <w:rPr>
          <w:rFonts w:ascii="Tahoma" w:eastAsia="Times New Roman" w:hAnsi="Tahoma" w:cs="Tahoma"/>
          <w:lang w:eastAsia="en-GB"/>
        </w:rPr>
        <w:t xml:space="preserve"> (GL)</w:t>
      </w:r>
      <w:r w:rsidRPr="00DC67E0">
        <w:rPr>
          <w:rFonts w:ascii="Tahoma" w:eastAsia="Times New Roman" w:hAnsi="Tahoma" w:cs="Tahoma"/>
          <w:lang w:eastAsia="en-GB"/>
        </w:rPr>
        <w:t xml:space="preserve">, the lead agency in this consortium, is driving the campaign for SRHR from local to regional level through its work with 425 Councils in ten Southern African Development Community (SADC) countries. GL and 40 NGOs in the Southern African Gender Protocol Alliance campaigned for </w:t>
      </w:r>
      <w:r>
        <w:rPr>
          <w:rFonts w:ascii="Tahoma" w:eastAsia="Times New Roman" w:hAnsi="Tahoma" w:cs="Tahoma"/>
          <w:lang w:eastAsia="en-GB"/>
        </w:rPr>
        <w:t xml:space="preserve">the SADC Gender Protocol, a </w:t>
      </w:r>
      <w:r w:rsidRPr="00DC67E0">
        <w:rPr>
          <w:rFonts w:ascii="Tahoma" w:eastAsia="Times New Roman" w:hAnsi="Tahoma" w:cs="Tahoma"/>
          <w:lang w:eastAsia="en-GB"/>
        </w:rPr>
        <w:t xml:space="preserve">unique sub-regional instrument that brings together African and global commitments to gender equality. Working with gender </w:t>
      </w:r>
      <w:r>
        <w:rPr>
          <w:rFonts w:ascii="Tahoma" w:eastAsia="Times New Roman" w:hAnsi="Tahoma" w:cs="Tahoma"/>
          <w:lang w:eastAsia="en-GB"/>
        </w:rPr>
        <w:t>and local government ministries</w:t>
      </w:r>
      <w:r w:rsidRPr="00DC67E0">
        <w:rPr>
          <w:rFonts w:ascii="Tahoma" w:eastAsia="Times New Roman" w:hAnsi="Tahoma" w:cs="Tahoma"/>
          <w:lang w:eastAsia="en-GB"/>
        </w:rPr>
        <w:t xml:space="preserve"> GL cascades these targets to the local level through its Centres of Excellence for Gender in Local Government</w:t>
      </w:r>
      <w:r>
        <w:rPr>
          <w:rFonts w:ascii="Tahoma" w:eastAsia="Times New Roman" w:hAnsi="Tahoma" w:cs="Tahoma"/>
          <w:lang w:eastAsia="en-GB"/>
        </w:rPr>
        <w:t>. Over the last five</w:t>
      </w:r>
      <w:r w:rsidRPr="00DC67E0">
        <w:rPr>
          <w:rFonts w:ascii="Tahoma" w:eastAsia="Times New Roman" w:hAnsi="Tahoma" w:cs="Tahoma"/>
          <w:lang w:eastAsia="en-GB"/>
        </w:rPr>
        <w:t xml:space="preserve"> years, partners have shared over 2000 case studies of the SADC Protocol@Work in 26 </w:t>
      </w:r>
      <w:proofErr w:type="gramStart"/>
      <w:r w:rsidRPr="00DC67E0">
        <w:rPr>
          <w:rFonts w:ascii="Tahoma" w:eastAsia="Times New Roman" w:hAnsi="Tahoma" w:cs="Tahoma"/>
          <w:lang w:eastAsia="en-GB"/>
        </w:rPr>
        <w:t>district</w:t>
      </w:r>
      <w:proofErr w:type="gramEnd"/>
      <w:r w:rsidRPr="00DC67E0">
        <w:rPr>
          <w:rFonts w:ascii="Tahoma" w:eastAsia="Times New Roman" w:hAnsi="Tahoma" w:cs="Tahoma"/>
          <w:lang w:eastAsia="en-GB"/>
        </w:rPr>
        <w:t>, 36 national and eight regional summits.</w:t>
      </w:r>
      <w:r>
        <w:rPr>
          <w:rFonts w:ascii="Tahoma" w:eastAsia="Times New Roman" w:hAnsi="Tahoma" w:cs="Tahoma"/>
          <w:lang w:eastAsia="en-GB"/>
        </w:rPr>
        <w:t xml:space="preserve"> While GL is not directly involved in implementation, the case studies reflect the extent to which gender policies and advocacy create an enabling environment for action on the ground with multiplier effects well beyond what one middle size Women’s Rights Organisation could achieve.  </w:t>
      </w:r>
      <w:r w:rsidRPr="0057256C">
        <w:rPr>
          <w:rFonts w:ascii="Tahoma" w:eastAsia="Times New Roman" w:hAnsi="Tahoma" w:cs="Tahoma"/>
          <w:lang w:eastAsia="en-GB"/>
        </w:rPr>
        <w:t xml:space="preserve">GL’s </w:t>
      </w:r>
      <w:r>
        <w:rPr>
          <w:rFonts w:ascii="Tahoma" w:eastAsia="Times New Roman" w:hAnsi="Tahoma" w:cs="Tahoma"/>
          <w:lang w:eastAsia="en-GB"/>
        </w:rPr>
        <w:t xml:space="preserve">catalytic impact </w:t>
      </w:r>
      <w:r w:rsidRPr="0057256C">
        <w:rPr>
          <w:rFonts w:ascii="Tahoma" w:eastAsia="Times New Roman" w:hAnsi="Tahoma" w:cs="Tahoma"/>
          <w:lang w:eastAsia="en-GB"/>
        </w:rPr>
        <w:t xml:space="preserve">has been </w:t>
      </w:r>
      <w:r>
        <w:rPr>
          <w:rFonts w:ascii="Tahoma" w:eastAsia="Times New Roman" w:hAnsi="Tahoma" w:cs="Tahoma"/>
          <w:lang w:eastAsia="en-GB"/>
        </w:rPr>
        <w:t xml:space="preserve">independently </w:t>
      </w:r>
      <w:r w:rsidRPr="0057256C">
        <w:rPr>
          <w:rFonts w:ascii="Tahoma" w:eastAsia="Times New Roman" w:hAnsi="Tahoma" w:cs="Tahoma"/>
          <w:lang w:eastAsia="en-GB"/>
        </w:rPr>
        <w:t xml:space="preserve">evaluated and commended by Coffey, a London-based development consultancy, as one of twelve case studies </w:t>
      </w:r>
      <w:r>
        <w:rPr>
          <w:rFonts w:ascii="Tahoma" w:eastAsia="Times New Roman" w:hAnsi="Tahoma" w:cs="Tahoma"/>
          <w:lang w:eastAsia="en-GB"/>
        </w:rPr>
        <w:t>in the</w:t>
      </w:r>
      <w:r w:rsidRPr="0057256C">
        <w:rPr>
          <w:rFonts w:ascii="Tahoma" w:eastAsia="Times New Roman" w:hAnsi="Tahoma" w:cs="Tahoma"/>
          <w:lang w:eastAsia="en-GB"/>
        </w:rPr>
        <w:t xml:space="preserve"> DFID Programme Partnership Arrangement</w:t>
      </w:r>
      <w:r>
        <w:rPr>
          <w:rFonts w:ascii="Tahoma" w:eastAsia="Times New Roman" w:hAnsi="Tahoma" w:cs="Tahoma"/>
          <w:lang w:eastAsia="en-GB"/>
        </w:rPr>
        <w:t xml:space="preserve"> (</w:t>
      </w:r>
      <w:proofErr w:type="spellStart"/>
      <w:r>
        <w:rPr>
          <w:rFonts w:ascii="Tahoma" w:eastAsia="Times New Roman" w:hAnsi="Tahoma" w:cs="Tahoma"/>
          <w:lang w:eastAsia="en-GB"/>
        </w:rPr>
        <w:t>PPA</w:t>
      </w:r>
      <w:proofErr w:type="spellEnd"/>
      <w:r>
        <w:rPr>
          <w:rFonts w:ascii="Tahoma" w:eastAsia="Times New Roman" w:hAnsi="Tahoma" w:cs="Tahoma"/>
          <w:lang w:eastAsia="en-GB"/>
        </w:rPr>
        <w:t xml:space="preserve">) in which GL is the only Southern based grantee (see graphic at </w:t>
      </w:r>
      <w:r w:rsidRPr="006E6E53">
        <w:rPr>
          <w:rFonts w:ascii="Tahoma" w:eastAsia="Times New Roman" w:hAnsi="Tahoma" w:cs="Tahoma"/>
          <w:i/>
          <w:lang w:eastAsia="en-GB"/>
        </w:rPr>
        <w:t>Annex 1</w:t>
      </w:r>
      <w:r w:rsidRPr="0057256C">
        <w:rPr>
          <w:rFonts w:ascii="Tahoma" w:eastAsia="Times New Roman" w:hAnsi="Tahoma" w:cs="Tahoma"/>
          <w:lang w:eastAsia="en-GB"/>
        </w:rPr>
        <w:t xml:space="preserve">).  </w:t>
      </w:r>
    </w:p>
    <w:p w:rsidR="00E67D5A" w:rsidRPr="0057256C" w:rsidRDefault="00E67D5A" w:rsidP="00E67D5A">
      <w:pPr>
        <w:spacing w:after="0" w:line="240" w:lineRule="auto"/>
        <w:jc w:val="both"/>
        <w:rPr>
          <w:rFonts w:ascii="Tahoma" w:eastAsia="Times New Roman" w:hAnsi="Tahoma" w:cs="Tahoma"/>
          <w:b/>
          <w:lang w:eastAsia="en-GB"/>
        </w:rPr>
      </w:pPr>
    </w:p>
    <w:p w:rsidR="00E67D5A" w:rsidRPr="0057256C" w:rsidRDefault="00E67D5A" w:rsidP="00E67D5A">
      <w:pPr>
        <w:spacing w:after="0" w:line="240" w:lineRule="auto"/>
        <w:rPr>
          <w:rFonts w:ascii="Tahoma" w:eastAsia="Times New Roman" w:hAnsi="Tahoma" w:cs="Tahoma"/>
          <w:b/>
          <w:lang w:eastAsia="en-GB"/>
        </w:rPr>
      </w:pPr>
      <w:r w:rsidRPr="0057256C">
        <w:rPr>
          <w:rFonts w:ascii="Tahoma" w:eastAsia="Times New Roman" w:hAnsi="Tahoma" w:cs="Tahoma"/>
          <w:noProof/>
          <w:lang w:eastAsia="en-GB"/>
        </w:rPr>
        <w:drawing>
          <wp:anchor distT="0" distB="0" distL="114300" distR="114300" simplePos="0" relativeHeight="251671552" behindDoc="1" locked="0" layoutInCell="1" allowOverlap="1" wp14:anchorId="72A9E68D" wp14:editId="7AFEA7DB">
            <wp:simplePos x="0" y="0"/>
            <wp:positionH relativeFrom="column">
              <wp:posOffset>-285750</wp:posOffset>
            </wp:positionH>
            <wp:positionV relativeFrom="paragraph">
              <wp:posOffset>115570</wp:posOffset>
            </wp:positionV>
            <wp:extent cx="4533900" cy="3238500"/>
            <wp:effectExtent l="0" t="57150" r="0" b="9525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E67D5A" w:rsidRPr="0057256C" w:rsidRDefault="00E67D5A" w:rsidP="00E67D5A">
      <w:pPr>
        <w:spacing w:after="0" w:line="240" w:lineRule="auto"/>
        <w:jc w:val="both"/>
        <w:rPr>
          <w:rFonts w:ascii="Tahoma" w:eastAsia="Calibri" w:hAnsi="Tahoma" w:cs="Tahoma"/>
          <w:b/>
          <w:i/>
          <w:sz w:val="24"/>
        </w:rPr>
      </w:pPr>
      <w:r w:rsidRPr="0057256C">
        <w:rPr>
          <w:rFonts w:ascii="Tahoma" w:eastAsia="Times New Roman" w:hAnsi="Tahoma" w:cs="Tahoma"/>
          <w:lang w:eastAsia="en-GB"/>
        </w:rPr>
        <w:t>In 2015, as part of the campaign to update the SADC Gender Protocol in line with the Sustainable Development Goals</w:t>
      </w:r>
      <w:r>
        <w:rPr>
          <w:rFonts w:ascii="Tahoma" w:eastAsia="Times New Roman" w:hAnsi="Tahoma" w:cs="Tahoma"/>
          <w:lang w:eastAsia="en-GB"/>
        </w:rPr>
        <w:t xml:space="preserve"> (SDGs)</w:t>
      </w:r>
      <w:r w:rsidRPr="0057256C">
        <w:rPr>
          <w:rFonts w:ascii="Tahoma" w:eastAsia="Times New Roman" w:hAnsi="Tahoma" w:cs="Tahoma"/>
          <w:lang w:eastAsia="en-GB"/>
        </w:rPr>
        <w:t xml:space="preserve">, the Alliance introduced SRHR as a </w:t>
      </w:r>
      <w:r>
        <w:rPr>
          <w:rFonts w:ascii="Tahoma" w:eastAsia="Times New Roman" w:hAnsi="Tahoma" w:cs="Tahoma"/>
          <w:lang w:eastAsia="en-GB"/>
        </w:rPr>
        <w:t xml:space="preserve">distinct category </w:t>
      </w:r>
      <w:r w:rsidRPr="0057256C">
        <w:rPr>
          <w:rFonts w:ascii="Tahoma" w:eastAsia="Times New Roman" w:hAnsi="Tahoma" w:cs="Tahoma"/>
          <w:lang w:eastAsia="en-GB"/>
        </w:rPr>
        <w:t xml:space="preserve">in the summits. This analysis of the 92 case studies shared </w:t>
      </w:r>
      <w:r>
        <w:rPr>
          <w:rFonts w:ascii="Tahoma" w:eastAsia="Times New Roman" w:hAnsi="Tahoma" w:cs="Tahoma"/>
          <w:lang w:eastAsia="en-GB"/>
        </w:rPr>
        <w:t xml:space="preserve">in this category in 2015 shows </w:t>
      </w:r>
      <w:r w:rsidRPr="0057256C">
        <w:rPr>
          <w:rFonts w:ascii="Tahoma" w:eastAsia="Times New Roman" w:hAnsi="Tahoma" w:cs="Tahoma"/>
          <w:lang w:eastAsia="en-GB"/>
        </w:rPr>
        <w:t xml:space="preserve">how, working through local government, GL is able to introduce sensitive subjects with a high degree of local ownership, as well as amplify these results through lobbying for stronger regional standard-setting. </w:t>
      </w:r>
    </w:p>
    <w:p w:rsidR="00E67D5A" w:rsidRPr="0057256C" w:rsidRDefault="00E67D5A" w:rsidP="00E67D5A">
      <w:pPr>
        <w:spacing w:after="0" w:line="240" w:lineRule="auto"/>
        <w:jc w:val="both"/>
        <w:rPr>
          <w:rFonts w:ascii="Tahoma" w:eastAsia="Calibri" w:hAnsi="Tahoma" w:cs="Tahoma"/>
          <w:b/>
          <w:i/>
          <w:sz w:val="24"/>
        </w:rPr>
      </w:pPr>
    </w:p>
    <w:p w:rsidR="00E67D5A" w:rsidRPr="0057256C" w:rsidRDefault="00E67D5A" w:rsidP="00E67D5A">
      <w:pPr>
        <w:spacing w:after="0" w:line="240" w:lineRule="auto"/>
        <w:jc w:val="both"/>
        <w:rPr>
          <w:rFonts w:ascii="Tahoma" w:eastAsia="Calibri" w:hAnsi="Tahoma" w:cs="Tahoma"/>
          <w:b/>
          <w:i/>
          <w:sz w:val="24"/>
        </w:rPr>
      </w:pPr>
      <w:r w:rsidRPr="0057256C">
        <w:rPr>
          <w:rFonts w:ascii="Tahoma" w:eastAsia="Calibri" w:hAnsi="Tahoma" w:cs="Tahoma"/>
          <w:noProof/>
          <w:lang w:eastAsia="en-GB"/>
        </w:rPr>
        <w:lastRenderedPageBreak/>
        <w:drawing>
          <wp:anchor distT="0" distB="0" distL="114300" distR="114300" simplePos="0" relativeHeight="251672576" behindDoc="0" locked="0" layoutInCell="1" allowOverlap="1" wp14:anchorId="167A6756" wp14:editId="70DAFB92">
            <wp:simplePos x="0" y="0"/>
            <wp:positionH relativeFrom="column">
              <wp:posOffset>66675</wp:posOffset>
            </wp:positionH>
            <wp:positionV relativeFrom="paragraph">
              <wp:posOffset>0</wp:posOffset>
            </wp:positionV>
            <wp:extent cx="5295900" cy="3095625"/>
            <wp:effectExtent l="0" t="0" r="19050" b="952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67D5A" w:rsidRPr="0057256C"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Default="00E67D5A" w:rsidP="00E67D5A">
      <w:pPr>
        <w:spacing w:after="0" w:line="240" w:lineRule="auto"/>
        <w:jc w:val="both"/>
        <w:rPr>
          <w:rFonts w:ascii="Tahoma" w:eastAsia="Calibri" w:hAnsi="Tahoma" w:cs="Tahoma"/>
          <w:b/>
          <w:i/>
          <w:sz w:val="24"/>
        </w:rPr>
      </w:pPr>
    </w:p>
    <w:p w:rsidR="00E67D5A" w:rsidRPr="0057256C" w:rsidRDefault="00E67D5A" w:rsidP="00E67D5A">
      <w:pPr>
        <w:spacing w:after="0" w:line="240" w:lineRule="auto"/>
        <w:jc w:val="both"/>
        <w:rPr>
          <w:rFonts w:ascii="Tahoma" w:eastAsia="Times New Roman" w:hAnsi="Tahoma" w:cs="Tahoma"/>
          <w:lang w:eastAsia="en-GB"/>
        </w:rPr>
      </w:pPr>
      <w:r w:rsidRPr="0057256C">
        <w:rPr>
          <w:rFonts w:ascii="Tahoma" w:eastAsia="Calibri" w:hAnsi="Tahoma" w:cs="Tahoma"/>
          <w:b/>
          <w:i/>
          <w:sz w:val="24"/>
        </w:rPr>
        <w:t xml:space="preserve">Expertise and comparative strength on SRHR and HIV/AIDS in SADC: </w:t>
      </w:r>
      <w:r w:rsidRPr="0057256C">
        <w:rPr>
          <w:rFonts w:ascii="Tahoma" w:eastAsia="Times New Roman" w:hAnsi="Tahoma" w:cs="Tahoma"/>
          <w:lang w:eastAsia="en-GB"/>
        </w:rPr>
        <w:t xml:space="preserve">Over the last nine years, GL has worked with 425 councils, covering 26% of the population of SADC, to develop gender action plans with flagship programmes on SRHR, HIV and AIDS, and GBV as part of the ten stage COE programme. The range of countries that presented case studies on the impact of their work on SRHR in 2015 (see graph) demonstrates GL’s regional reach, including in Lusophone and Francophone speaking countries. </w:t>
      </w:r>
    </w:p>
    <w:p w:rsidR="00E67D5A" w:rsidRPr="0057256C" w:rsidRDefault="00E67D5A" w:rsidP="00E67D5A">
      <w:pPr>
        <w:spacing w:after="0" w:line="240" w:lineRule="auto"/>
        <w:jc w:val="both"/>
        <w:rPr>
          <w:rFonts w:ascii="Tahoma" w:eastAsia="Calibri" w:hAnsi="Tahoma" w:cs="Tahoma"/>
          <w:sz w:val="24"/>
        </w:rPr>
      </w:pPr>
    </w:p>
    <w:p w:rsidR="00E67D5A" w:rsidRPr="0057256C" w:rsidRDefault="00E67D5A" w:rsidP="00E67D5A">
      <w:pPr>
        <w:spacing w:after="0" w:line="240" w:lineRule="auto"/>
        <w:jc w:val="both"/>
        <w:rPr>
          <w:rFonts w:ascii="Tahoma" w:eastAsia="Times New Roman" w:hAnsi="Tahoma" w:cs="Tahoma"/>
          <w:lang w:eastAsia="en-GB"/>
        </w:rPr>
      </w:pPr>
      <w:r w:rsidRPr="0057256C">
        <w:rPr>
          <w:rFonts w:ascii="Tahoma" w:eastAsia="Calibri" w:hAnsi="Tahoma" w:cs="Tahoma"/>
          <w:b/>
          <w:i/>
        </w:rPr>
        <w:t xml:space="preserve">Involving local partners and target groups in preparing, planning and implementing: </w:t>
      </w:r>
      <w:r w:rsidRPr="0057256C">
        <w:rPr>
          <w:rFonts w:ascii="Tahoma" w:eastAsia="Times New Roman" w:hAnsi="Tahoma" w:cs="Tahoma"/>
          <w:lang w:eastAsia="en-GB"/>
        </w:rPr>
        <w:t xml:space="preserve">GL </w:t>
      </w:r>
      <w:r>
        <w:rPr>
          <w:rFonts w:ascii="Tahoma" w:eastAsia="Times New Roman" w:hAnsi="Tahoma" w:cs="Tahoma"/>
          <w:lang w:eastAsia="en-GB"/>
        </w:rPr>
        <w:t xml:space="preserve">country </w:t>
      </w:r>
      <w:proofErr w:type="gramStart"/>
      <w:r>
        <w:rPr>
          <w:rFonts w:ascii="Tahoma" w:eastAsia="Times New Roman" w:hAnsi="Tahoma" w:cs="Tahoma"/>
          <w:lang w:eastAsia="en-GB"/>
        </w:rPr>
        <w:t xml:space="preserve">staff </w:t>
      </w:r>
      <w:r w:rsidRPr="0057256C">
        <w:rPr>
          <w:rFonts w:ascii="Tahoma" w:eastAsia="Times New Roman" w:hAnsi="Tahoma" w:cs="Tahoma"/>
          <w:lang w:eastAsia="en-GB"/>
        </w:rPr>
        <w:t>assist</w:t>
      </w:r>
      <w:proofErr w:type="gramEnd"/>
      <w:r w:rsidRPr="0057256C">
        <w:rPr>
          <w:rFonts w:ascii="Tahoma" w:eastAsia="Times New Roman" w:hAnsi="Tahoma" w:cs="Tahoma"/>
          <w:lang w:eastAsia="en-GB"/>
        </w:rPr>
        <w:t xml:space="preserve"> the councils with capacity building support in developing action plans. The councils then document progress on their different interventions. One of the questions concerns how they involve beneficiaries. Testimonial evidence is a crucial part of the entries. Progress is presented in a case study format that is shared at district summits. Winners go on to national and regional summits. </w:t>
      </w:r>
    </w:p>
    <w:p w:rsidR="00E67D5A" w:rsidRPr="0057256C" w:rsidRDefault="00E67D5A" w:rsidP="00E67D5A">
      <w:pPr>
        <w:spacing w:before="100" w:beforeAutospacing="1" w:after="100" w:afterAutospacing="1" w:line="240" w:lineRule="auto"/>
        <w:jc w:val="both"/>
        <w:rPr>
          <w:rFonts w:ascii="Tahoma" w:eastAsia="Calibri" w:hAnsi="Tahoma" w:cs="Tahoma"/>
        </w:rPr>
      </w:pPr>
      <w:r w:rsidRPr="0057256C">
        <w:rPr>
          <w:rFonts w:ascii="Tahoma" w:eastAsia="Calibri" w:hAnsi="Tahoma" w:cs="Tahoma"/>
          <w:noProof/>
          <w:lang w:eastAsia="en-GB"/>
        </w:rPr>
        <w:drawing>
          <wp:inline distT="0" distB="0" distL="0" distR="0" wp14:anchorId="1BF20C1F" wp14:editId="2FC7D34F">
            <wp:extent cx="5314950" cy="20669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7D5A" w:rsidRPr="0057256C" w:rsidRDefault="00E67D5A" w:rsidP="00E67D5A">
      <w:pPr>
        <w:spacing w:before="100" w:beforeAutospacing="1" w:after="100" w:afterAutospacing="1" w:line="240" w:lineRule="auto"/>
        <w:jc w:val="both"/>
        <w:rPr>
          <w:rFonts w:ascii="Tahoma" w:eastAsia="Calibri" w:hAnsi="Tahoma" w:cs="Tahoma"/>
        </w:rPr>
      </w:pPr>
      <w:r w:rsidRPr="0057256C">
        <w:rPr>
          <w:rFonts w:ascii="Tahoma" w:eastAsia="Calibri" w:hAnsi="Tahoma" w:cs="Tahoma"/>
          <w:b/>
          <w:i/>
        </w:rPr>
        <w:t>Working with national and international networks:</w:t>
      </w:r>
      <w:r w:rsidRPr="0057256C">
        <w:rPr>
          <w:rFonts w:ascii="Tahoma" w:eastAsia="Calibri" w:hAnsi="Tahoma" w:cs="Tahoma"/>
        </w:rPr>
        <w:t xml:space="preserve"> The analysis shows that while local government (27% of the case studies) is t</w:t>
      </w:r>
      <w:r>
        <w:rPr>
          <w:rFonts w:ascii="Tahoma" w:eastAsia="Calibri" w:hAnsi="Tahoma" w:cs="Tahoma"/>
        </w:rPr>
        <w:t>he focus</w:t>
      </w:r>
      <w:r w:rsidRPr="0057256C">
        <w:rPr>
          <w:rFonts w:ascii="Tahoma" w:eastAsia="Calibri" w:hAnsi="Tahoma" w:cs="Tahoma"/>
        </w:rPr>
        <w:t xml:space="preserve"> of the work, the SADC Protocol@Work summits galvanise several other partners: community and faith-based organisations, NGOs and government departments. Alliance focal networks in each country organise the national summit. The </w:t>
      </w:r>
      <w:r>
        <w:rPr>
          <w:rFonts w:ascii="Tahoma" w:eastAsia="Calibri" w:hAnsi="Tahoma" w:cs="Tahoma"/>
        </w:rPr>
        <w:t xml:space="preserve">Alliance </w:t>
      </w:r>
      <w:r w:rsidRPr="0057256C">
        <w:rPr>
          <w:rFonts w:ascii="Tahoma" w:eastAsia="Calibri" w:hAnsi="Tahoma" w:cs="Tahoma"/>
        </w:rPr>
        <w:t xml:space="preserve">regional theme clusters serve as independent judges. </w:t>
      </w:r>
      <w:r>
        <w:rPr>
          <w:rFonts w:ascii="Tahoma" w:eastAsia="Calibri" w:hAnsi="Tahoma" w:cs="Tahoma"/>
        </w:rPr>
        <w:t xml:space="preserve">GL shares its results through SADC, African, Commonwealth and UN networks. </w:t>
      </w:r>
      <w:r w:rsidRPr="0057256C">
        <w:rPr>
          <w:rFonts w:ascii="Tahoma" w:eastAsia="Calibri" w:hAnsi="Tahoma" w:cs="Tahoma"/>
        </w:rPr>
        <w:t xml:space="preserve"> </w:t>
      </w:r>
    </w:p>
    <w:p w:rsidR="00E67D5A" w:rsidRPr="0057256C" w:rsidRDefault="00E67D5A" w:rsidP="00E67D5A">
      <w:pPr>
        <w:spacing w:after="0" w:line="240" w:lineRule="auto"/>
        <w:jc w:val="both"/>
        <w:rPr>
          <w:rFonts w:ascii="Tahoma" w:eastAsia="Calibri" w:hAnsi="Tahoma" w:cs="Tahoma"/>
        </w:rPr>
      </w:pPr>
    </w:p>
    <w:p w:rsidR="00E67D5A" w:rsidRDefault="00E67D5A" w:rsidP="00E67D5A">
      <w:pPr>
        <w:jc w:val="both"/>
        <w:rPr>
          <w:rFonts w:ascii="Tahoma" w:eastAsia="Calibri" w:hAnsi="Tahoma" w:cs="Tahoma"/>
        </w:rPr>
      </w:pPr>
      <w:r>
        <w:rPr>
          <w:noProof/>
          <w:lang w:eastAsia="en-GB"/>
        </w:rPr>
        <w:drawing>
          <wp:anchor distT="0" distB="0" distL="114300" distR="114300" simplePos="0" relativeHeight="251675648" behindDoc="0" locked="0" layoutInCell="1" allowOverlap="1" wp14:anchorId="20025392" wp14:editId="144CC1A9">
            <wp:simplePos x="0" y="0"/>
            <wp:positionH relativeFrom="column">
              <wp:posOffset>0</wp:posOffset>
            </wp:positionH>
            <wp:positionV relativeFrom="paragraph">
              <wp:posOffset>287655</wp:posOffset>
            </wp:positionV>
            <wp:extent cx="3752850" cy="1933575"/>
            <wp:effectExtent l="0" t="0" r="19050" b="952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57256C">
        <w:rPr>
          <w:rFonts w:ascii="Tahoma" w:eastAsia="Calibri" w:hAnsi="Tahoma" w:cs="Tahoma"/>
          <w:b/>
          <w:i/>
        </w:rPr>
        <w:t xml:space="preserve">Covering all three target groups in the </w:t>
      </w:r>
      <w:proofErr w:type="spellStart"/>
      <w:r w:rsidRPr="0057256C">
        <w:rPr>
          <w:rFonts w:ascii="Tahoma" w:eastAsia="Calibri" w:hAnsi="Tahoma" w:cs="Tahoma"/>
          <w:b/>
          <w:i/>
        </w:rPr>
        <w:t>RNE</w:t>
      </w:r>
      <w:proofErr w:type="spellEnd"/>
      <w:r w:rsidRPr="0057256C">
        <w:rPr>
          <w:rFonts w:ascii="Tahoma" w:eastAsia="Calibri" w:hAnsi="Tahoma" w:cs="Tahoma"/>
          <w:b/>
          <w:i/>
        </w:rPr>
        <w:t xml:space="preserve"> call:</w:t>
      </w:r>
      <w:r w:rsidRPr="0057256C">
        <w:rPr>
          <w:rFonts w:ascii="Tahoma" w:eastAsia="Calibri" w:hAnsi="Tahoma" w:cs="Tahoma"/>
        </w:rPr>
        <w:t xml:space="preserve"> </w:t>
      </w:r>
      <w:r>
        <w:rPr>
          <w:rFonts w:ascii="Tahoma" w:eastAsia="Calibri" w:hAnsi="Tahoma" w:cs="Tahoma"/>
        </w:rPr>
        <w:t>T</w:t>
      </w:r>
      <w:r w:rsidRPr="0057256C">
        <w:rPr>
          <w:rFonts w:ascii="Tahoma" w:eastAsia="Calibri" w:hAnsi="Tahoma" w:cs="Tahoma"/>
        </w:rPr>
        <w:t>he analysis show</w:t>
      </w:r>
      <w:r>
        <w:rPr>
          <w:rFonts w:ascii="Tahoma" w:eastAsia="Calibri" w:hAnsi="Tahoma" w:cs="Tahoma"/>
        </w:rPr>
        <w:t>s</w:t>
      </w:r>
      <w:r w:rsidRPr="0057256C">
        <w:rPr>
          <w:rFonts w:ascii="Tahoma" w:eastAsia="Calibri" w:hAnsi="Tahoma" w:cs="Tahoma"/>
        </w:rPr>
        <w:t xml:space="preserve"> that while the majority of the SADC Protocol@Work case studies concerned women and men in general, they also focused on youth (26%),</w:t>
      </w:r>
      <w:r>
        <w:rPr>
          <w:rFonts w:ascii="Tahoma" w:eastAsia="Calibri" w:hAnsi="Tahoma" w:cs="Tahoma"/>
        </w:rPr>
        <w:t xml:space="preserve">and </w:t>
      </w:r>
      <w:r w:rsidRPr="0057256C">
        <w:rPr>
          <w:rFonts w:ascii="Tahoma" w:eastAsia="Calibri" w:hAnsi="Tahoma" w:cs="Tahoma"/>
        </w:rPr>
        <w:t>key populations (</w:t>
      </w:r>
      <w:r>
        <w:rPr>
          <w:rFonts w:ascii="Tahoma" w:eastAsia="Calibri" w:hAnsi="Tahoma" w:cs="Tahoma"/>
        </w:rPr>
        <w:t xml:space="preserve">12% of the case studies concerned </w:t>
      </w:r>
      <w:r w:rsidRPr="0057256C">
        <w:rPr>
          <w:rFonts w:ascii="Tahoma" w:eastAsia="Calibri" w:hAnsi="Tahoma" w:cs="Tahoma"/>
        </w:rPr>
        <w:t xml:space="preserve">sex workers, injecting drug users, </w:t>
      </w:r>
      <w:proofErr w:type="spellStart"/>
      <w:r w:rsidRPr="0057256C">
        <w:rPr>
          <w:rFonts w:ascii="Tahoma" w:eastAsia="Calibri" w:hAnsi="Tahoma" w:cs="Tahoma"/>
        </w:rPr>
        <w:t>LGBTI</w:t>
      </w:r>
      <w:proofErr w:type="spellEnd"/>
      <w:r w:rsidRPr="0057256C">
        <w:rPr>
          <w:rFonts w:ascii="Tahoma" w:eastAsia="Calibri" w:hAnsi="Tahoma" w:cs="Tahoma"/>
        </w:rPr>
        <w:t xml:space="preserve"> persons, persons with disabilities and prisoners</w:t>
      </w:r>
      <w:r>
        <w:rPr>
          <w:rFonts w:ascii="Tahoma" w:eastAsia="Calibri" w:hAnsi="Tahoma" w:cs="Tahoma"/>
        </w:rPr>
        <w:t>).</w:t>
      </w:r>
      <w:r w:rsidRPr="0057256C">
        <w:rPr>
          <w:rFonts w:ascii="Tahoma" w:eastAsia="Calibri" w:hAnsi="Tahoma" w:cs="Tahoma"/>
        </w:rPr>
        <w:t xml:space="preserve"> </w:t>
      </w:r>
    </w:p>
    <w:p w:rsidR="00E67D5A" w:rsidRPr="00C01F5F" w:rsidRDefault="00E67D5A" w:rsidP="00E67D5A">
      <w:pPr>
        <w:jc w:val="both"/>
        <w:rPr>
          <w:rFonts w:ascii="Tahoma" w:eastAsia="Calibri" w:hAnsi="Tahoma" w:cs="Tahoma"/>
          <w:lang w:val="en-US"/>
        </w:rPr>
      </w:pPr>
      <w:r>
        <w:rPr>
          <w:noProof/>
          <w:lang w:eastAsia="en-GB"/>
        </w:rPr>
        <w:drawing>
          <wp:anchor distT="0" distB="0" distL="114300" distR="114300" simplePos="0" relativeHeight="251676672" behindDoc="0" locked="0" layoutInCell="1" allowOverlap="1" wp14:anchorId="5FAE3E05" wp14:editId="3A8E268D">
            <wp:simplePos x="0" y="0"/>
            <wp:positionH relativeFrom="column">
              <wp:posOffset>3119755</wp:posOffset>
            </wp:positionH>
            <wp:positionV relativeFrom="paragraph">
              <wp:posOffset>17780</wp:posOffset>
            </wp:positionV>
            <wp:extent cx="2839720" cy="1895475"/>
            <wp:effectExtent l="0" t="0" r="0" b="9525"/>
            <wp:wrapSquare wrapText="bothSides"/>
            <wp:docPr id="12" name="IFid2" descr="Media Workshop_16Days_SB_30112015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2" descr="Media Workshop_16Days_SB_30112015 (11)"/>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3972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5F">
        <w:rPr>
          <w:rFonts w:ascii="Tahoma" w:eastAsia="Calibri" w:hAnsi="Tahoma" w:cs="Tahoma"/>
        </w:rPr>
        <w:t xml:space="preserve">In Mauritius, for example, </w:t>
      </w:r>
      <w:r>
        <w:rPr>
          <w:rFonts w:ascii="Tahoma" w:eastAsia="Calibri" w:hAnsi="Tahoma" w:cs="Tahoma"/>
          <w:lang w:val="en-US"/>
        </w:rPr>
        <w:t>t</w:t>
      </w:r>
      <w:r w:rsidRPr="00C01F5F">
        <w:rPr>
          <w:rFonts w:ascii="Tahoma" w:eastAsia="Calibri" w:hAnsi="Tahoma" w:cs="Tahoma"/>
          <w:lang w:val="en-US"/>
        </w:rPr>
        <w:t xml:space="preserve">he </w:t>
      </w:r>
      <w:r>
        <w:rPr>
          <w:rFonts w:ascii="Tahoma" w:eastAsia="Calibri" w:hAnsi="Tahoma" w:cs="Tahoma"/>
          <w:lang w:val="en-US"/>
        </w:rPr>
        <w:t xml:space="preserve">Young Queer Alliance (depicted in the adjacent photo) presented its work with </w:t>
      </w:r>
      <w:r w:rsidRPr="00C01F5F">
        <w:rPr>
          <w:rFonts w:ascii="Tahoma" w:eastAsia="Calibri" w:hAnsi="Tahoma" w:cs="Tahoma"/>
          <w:lang w:val="en-US"/>
        </w:rPr>
        <w:t>15 – 29 year</w:t>
      </w:r>
      <w:r>
        <w:rPr>
          <w:rFonts w:ascii="Tahoma" w:eastAsia="Calibri" w:hAnsi="Tahoma" w:cs="Tahoma"/>
          <w:lang w:val="en-US"/>
        </w:rPr>
        <w:t xml:space="preserve"> olds on </w:t>
      </w:r>
      <w:r w:rsidRPr="00C01F5F">
        <w:rPr>
          <w:rFonts w:ascii="Tahoma" w:eastAsia="Calibri" w:hAnsi="Tahoma" w:cs="Tahoma"/>
          <w:lang w:val="en-US"/>
        </w:rPr>
        <w:t xml:space="preserve">actions </w:t>
      </w:r>
      <w:r>
        <w:rPr>
          <w:rFonts w:ascii="Tahoma" w:eastAsia="Calibri" w:hAnsi="Tahoma" w:cs="Tahoma"/>
          <w:lang w:val="en-US"/>
        </w:rPr>
        <w:t>to de-</w:t>
      </w:r>
      <w:proofErr w:type="spellStart"/>
      <w:r>
        <w:rPr>
          <w:rFonts w:ascii="Tahoma" w:eastAsia="Calibri" w:hAnsi="Tahoma" w:cs="Tahoma"/>
          <w:lang w:val="en-US"/>
        </w:rPr>
        <w:t>stigmatise</w:t>
      </w:r>
      <w:proofErr w:type="spellEnd"/>
      <w:r>
        <w:rPr>
          <w:rFonts w:ascii="Tahoma" w:eastAsia="Calibri" w:hAnsi="Tahoma" w:cs="Tahoma"/>
          <w:lang w:val="en-US"/>
        </w:rPr>
        <w:t xml:space="preserve"> </w:t>
      </w:r>
      <w:proofErr w:type="spellStart"/>
      <w:r>
        <w:rPr>
          <w:rFonts w:ascii="Tahoma" w:eastAsia="Calibri" w:hAnsi="Tahoma" w:cs="Tahoma"/>
          <w:lang w:val="en-US"/>
        </w:rPr>
        <w:t>LGBTI</w:t>
      </w:r>
      <w:proofErr w:type="spellEnd"/>
      <w:r>
        <w:rPr>
          <w:rFonts w:ascii="Tahoma" w:eastAsia="Calibri" w:hAnsi="Tahoma" w:cs="Tahoma"/>
          <w:lang w:val="en-US"/>
        </w:rPr>
        <w:t>, create support networks, and lobby for enabling legislation. One case study concerned councils working with truck drivers on HIV and AIDS.</w:t>
      </w:r>
    </w:p>
    <w:p w:rsidR="00E67D5A" w:rsidRPr="0057256C" w:rsidRDefault="00E67D5A" w:rsidP="00E67D5A">
      <w:pPr>
        <w:spacing w:after="0" w:line="240" w:lineRule="auto"/>
        <w:jc w:val="both"/>
        <w:rPr>
          <w:rFonts w:ascii="Tahoma" w:eastAsia="Calibri" w:hAnsi="Tahoma" w:cs="Tahoma"/>
          <w:lang w:eastAsia="en-ZA"/>
        </w:rPr>
      </w:pPr>
      <w:r w:rsidRPr="0057256C">
        <w:rPr>
          <w:rFonts w:ascii="Tahoma" w:eastAsia="Calibri" w:hAnsi="Tahoma" w:cs="Tahoma"/>
          <w:b/>
          <w:i/>
        </w:rPr>
        <w:t>Men as partners:</w:t>
      </w:r>
      <w:r>
        <w:rPr>
          <w:rFonts w:ascii="Tahoma" w:eastAsia="Calibri" w:hAnsi="Tahoma" w:cs="Tahoma"/>
        </w:rPr>
        <w:t xml:space="preserve"> 27</w:t>
      </w:r>
      <w:r w:rsidRPr="0057256C">
        <w:rPr>
          <w:rFonts w:ascii="Tahoma" w:eastAsia="Calibri" w:hAnsi="Tahoma" w:cs="Tahoma"/>
        </w:rPr>
        <w:t xml:space="preserve">% of the case studies focused on men as partners. For example, </w:t>
      </w:r>
      <w:r>
        <w:rPr>
          <w:rFonts w:ascii="Tahoma" w:eastAsia="Calibri" w:hAnsi="Tahoma" w:cs="Tahoma"/>
        </w:rPr>
        <w:t xml:space="preserve">case studies from </w:t>
      </w:r>
      <w:r w:rsidRPr="0057256C">
        <w:rPr>
          <w:rFonts w:ascii="Tahoma" w:eastAsia="Calibri" w:hAnsi="Tahoma" w:cs="Tahoma"/>
        </w:rPr>
        <w:t xml:space="preserve">Swaziland and South Africa </w:t>
      </w:r>
      <w:r>
        <w:rPr>
          <w:rFonts w:ascii="Tahoma" w:eastAsia="Calibri" w:hAnsi="Tahoma" w:cs="Tahoma"/>
        </w:rPr>
        <w:t xml:space="preserve">showed how </w:t>
      </w:r>
      <w:r w:rsidRPr="0057256C">
        <w:rPr>
          <w:rFonts w:ascii="Tahoma" w:eastAsia="Calibri" w:hAnsi="Tahoma" w:cs="Tahoma"/>
        </w:rPr>
        <w:t xml:space="preserve">men are coming together to demystify some of the </w:t>
      </w:r>
      <w:r>
        <w:rPr>
          <w:rFonts w:ascii="Tahoma" w:eastAsia="Calibri" w:hAnsi="Tahoma" w:cs="Tahoma"/>
        </w:rPr>
        <w:t>attributes, behaviours and myths</w:t>
      </w:r>
      <w:r w:rsidRPr="0057256C">
        <w:rPr>
          <w:rFonts w:ascii="Tahoma" w:eastAsia="Calibri" w:hAnsi="Tahoma" w:cs="Tahoma"/>
        </w:rPr>
        <w:t xml:space="preserve"> around masculinity. </w:t>
      </w:r>
      <w:r w:rsidRPr="0057256C">
        <w:rPr>
          <w:rFonts w:ascii="Tahoma" w:eastAsia="Calibri" w:hAnsi="Tahoma" w:cs="Tahoma"/>
          <w:lang w:eastAsia="en-ZA"/>
        </w:rPr>
        <w:t xml:space="preserve">Through dialogues and workshops men and boys work as partners with women to end violence and fight against the </w:t>
      </w:r>
      <w:r>
        <w:rPr>
          <w:rFonts w:ascii="Tahoma" w:eastAsia="Calibri" w:hAnsi="Tahoma" w:cs="Tahoma"/>
          <w:lang w:eastAsia="en-ZA"/>
        </w:rPr>
        <w:t xml:space="preserve">twin scourges of GBV, </w:t>
      </w:r>
      <w:r w:rsidRPr="0057256C">
        <w:rPr>
          <w:rFonts w:ascii="Tahoma" w:eastAsia="Calibri" w:hAnsi="Tahoma" w:cs="Tahoma"/>
          <w:lang w:eastAsia="en-ZA"/>
        </w:rPr>
        <w:t>HIV and AIDS</w:t>
      </w:r>
      <w:r>
        <w:rPr>
          <w:rFonts w:ascii="Tahoma" w:eastAsia="Calibri" w:hAnsi="Tahoma" w:cs="Tahoma"/>
          <w:lang w:eastAsia="en-ZA"/>
        </w:rPr>
        <w:t>.</w:t>
      </w:r>
      <w:r w:rsidRPr="0057256C">
        <w:rPr>
          <w:rFonts w:ascii="Tahoma" w:eastAsia="Calibri" w:hAnsi="Tahoma" w:cs="Tahoma"/>
          <w:lang w:eastAsia="en-ZA"/>
        </w:rPr>
        <w:t xml:space="preserve"> </w:t>
      </w:r>
    </w:p>
    <w:p w:rsidR="00E67D5A" w:rsidRPr="0057256C" w:rsidRDefault="00E67D5A" w:rsidP="00E67D5A">
      <w:pPr>
        <w:spacing w:after="0" w:line="240" w:lineRule="auto"/>
        <w:jc w:val="both"/>
        <w:rPr>
          <w:rFonts w:ascii="Tahoma" w:eastAsia="Calibri" w:hAnsi="Tahoma" w:cs="Tahoma"/>
        </w:rPr>
      </w:pPr>
    </w:p>
    <w:p w:rsidR="00E67D5A" w:rsidRPr="0057256C" w:rsidRDefault="00E67D5A" w:rsidP="00E67D5A">
      <w:pPr>
        <w:spacing w:after="0" w:line="240" w:lineRule="auto"/>
        <w:jc w:val="both"/>
        <w:rPr>
          <w:rFonts w:ascii="Tahoma" w:eastAsia="Calibri" w:hAnsi="Tahoma" w:cs="Tahoma"/>
          <w:b/>
        </w:rPr>
      </w:pPr>
      <w:r w:rsidRPr="0057256C">
        <w:rPr>
          <w:rFonts w:ascii="Tahoma" w:eastAsia="Calibri" w:hAnsi="Tahoma" w:cs="Tahoma"/>
          <w:b/>
        </w:rPr>
        <w:t xml:space="preserve">Results and effectiveness </w:t>
      </w:r>
    </w:p>
    <w:p w:rsidR="00E67D5A" w:rsidRPr="0057256C" w:rsidRDefault="00E67D5A" w:rsidP="00E67D5A">
      <w:pPr>
        <w:spacing w:after="0" w:line="240" w:lineRule="auto"/>
        <w:jc w:val="both"/>
        <w:rPr>
          <w:rFonts w:ascii="Tahoma" w:eastAsia="Calibri" w:hAnsi="Tahoma" w:cs="Tahoma"/>
          <w:b/>
        </w:rPr>
      </w:pPr>
    </w:p>
    <w:p w:rsidR="00E67D5A" w:rsidRPr="0057256C" w:rsidRDefault="00E67D5A" w:rsidP="00E67D5A">
      <w:pPr>
        <w:spacing w:after="0" w:line="240" w:lineRule="auto"/>
        <w:jc w:val="both"/>
        <w:rPr>
          <w:rFonts w:ascii="Tahoma" w:eastAsia="Calibri" w:hAnsi="Tahoma" w:cs="Tahoma"/>
          <w:b/>
        </w:rPr>
      </w:pPr>
      <w:r w:rsidRPr="0057256C">
        <w:rPr>
          <w:rFonts w:ascii="Tahoma" w:eastAsia="Calibri" w:hAnsi="Tahoma" w:cs="Tahoma"/>
          <w:noProof/>
          <w:lang w:eastAsia="en-GB"/>
        </w:rPr>
        <w:drawing>
          <wp:inline distT="0" distB="0" distL="0" distR="0" wp14:anchorId="7A69B5CD" wp14:editId="44707DB9">
            <wp:extent cx="5381625" cy="26574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7D5A" w:rsidRDefault="00E67D5A" w:rsidP="00E67D5A">
      <w:pPr>
        <w:rPr>
          <w:rFonts w:ascii="Tahoma" w:eastAsia="Calibri" w:hAnsi="Tahoma" w:cs="Tahoma"/>
          <w:b/>
          <w:i/>
        </w:rPr>
      </w:pPr>
      <w:r>
        <w:rPr>
          <w:rFonts w:ascii="Tahoma" w:eastAsia="Calibri" w:hAnsi="Tahoma" w:cs="Tahoma"/>
          <w:b/>
          <w:i/>
        </w:rPr>
        <w:br w:type="page"/>
      </w:r>
    </w:p>
    <w:p w:rsidR="00E67D5A" w:rsidRPr="0057256C" w:rsidRDefault="00E67D5A" w:rsidP="00E67D5A">
      <w:pPr>
        <w:spacing w:after="0" w:line="240" w:lineRule="auto"/>
        <w:jc w:val="both"/>
        <w:rPr>
          <w:rFonts w:ascii="Tahoma" w:eastAsia="Calibri" w:hAnsi="Tahoma" w:cs="Tahoma"/>
          <w:b/>
          <w:i/>
        </w:rPr>
      </w:pPr>
      <w:r w:rsidRPr="008860EE">
        <w:rPr>
          <w:noProof/>
          <w:lang w:eastAsia="en-GB"/>
        </w:rPr>
        <w:lastRenderedPageBreak/>
        <w:drawing>
          <wp:anchor distT="0" distB="0" distL="114300" distR="114300" simplePos="0" relativeHeight="251677696" behindDoc="0" locked="0" layoutInCell="1" allowOverlap="1" wp14:anchorId="2A93EC9D" wp14:editId="07E904AD">
            <wp:simplePos x="0" y="0"/>
            <wp:positionH relativeFrom="column">
              <wp:posOffset>4542790</wp:posOffset>
            </wp:positionH>
            <wp:positionV relativeFrom="paragraph">
              <wp:posOffset>-26035</wp:posOffset>
            </wp:positionV>
            <wp:extent cx="1209675" cy="1205865"/>
            <wp:effectExtent l="0" t="0" r="9525" b="0"/>
            <wp:wrapSquare wrapText="bothSides"/>
            <wp:docPr id="14" name="Picture 14" descr="C:\Users\Sifiso Dube\AppData\Local\Microsoft\Windows\Temporary Internet Files\Content.Outlook\93RAKCOI\SADC BARO    2030 LOGOrgb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fiso Dube\AppData\Local\Microsoft\Windows\Temporary Internet Files\Content.Outlook\93RAKCOI\SADC BARO    2030 LOGOrgb (00000002).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120967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b/>
          <w:i/>
        </w:rPr>
        <w:t xml:space="preserve">SADC Protocol targets at work: </w:t>
      </w:r>
      <w:r w:rsidRPr="00B54676">
        <w:rPr>
          <w:rFonts w:ascii="Tahoma" w:eastAsia="Calibri" w:hAnsi="Tahoma" w:cs="Tahoma"/>
        </w:rPr>
        <w:t xml:space="preserve">15 of the existing 28 targets of the SADC Gender Protocol relate to SRHR. The graph shows how these are being put to work on the ground, with integrated approaches to ending GBV, universal access to HIV and </w:t>
      </w:r>
      <w:proofErr w:type="spellStart"/>
      <w:r w:rsidRPr="00B54676">
        <w:rPr>
          <w:rFonts w:ascii="Tahoma" w:eastAsia="Calibri" w:hAnsi="Tahoma" w:cs="Tahoma"/>
        </w:rPr>
        <w:t>AIDs</w:t>
      </w:r>
      <w:proofErr w:type="spellEnd"/>
      <w:r w:rsidRPr="00B54676">
        <w:rPr>
          <w:rFonts w:ascii="Tahoma" w:eastAsia="Calibri" w:hAnsi="Tahoma" w:cs="Tahoma"/>
        </w:rPr>
        <w:t xml:space="preserve"> treatment, </w:t>
      </w:r>
      <w:proofErr w:type="spellStart"/>
      <w:r w:rsidRPr="00B54676">
        <w:rPr>
          <w:rFonts w:ascii="Tahoma" w:eastAsia="Calibri" w:hAnsi="Tahoma" w:cs="Tahoma"/>
        </w:rPr>
        <w:t>SRH</w:t>
      </w:r>
      <w:proofErr w:type="spellEnd"/>
      <w:r w:rsidRPr="00B54676">
        <w:rPr>
          <w:rFonts w:ascii="Tahoma" w:eastAsia="Calibri" w:hAnsi="Tahoma" w:cs="Tahoma"/>
        </w:rPr>
        <w:t xml:space="preserve"> needs of women and men being the most referenced. </w:t>
      </w:r>
    </w:p>
    <w:p w:rsidR="00E67D5A" w:rsidRPr="00B54676" w:rsidRDefault="00E67D5A" w:rsidP="00E67D5A">
      <w:pPr>
        <w:spacing w:after="0" w:line="240" w:lineRule="auto"/>
        <w:jc w:val="both"/>
        <w:rPr>
          <w:rFonts w:ascii="Tahoma" w:eastAsia="Calibri" w:hAnsi="Tahoma" w:cs="Tahoma"/>
          <w:b/>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noProof/>
          <w:lang w:eastAsia="en-GB"/>
        </w:rPr>
        <w:drawing>
          <wp:inline distT="0" distB="0" distL="0" distR="0" wp14:anchorId="116518D2" wp14:editId="6E75FE10">
            <wp:extent cx="4829175" cy="23336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b/>
          <w:i/>
          <w:noProof/>
          <w:lang w:eastAsia="en-GB"/>
        </w:rPr>
        <mc:AlternateContent>
          <mc:Choice Requires="wps">
            <w:drawing>
              <wp:anchor distT="0" distB="0" distL="114300" distR="114300" simplePos="0" relativeHeight="251674624" behindDoc="0" locked="0" layoutInCell="1" allowOverlap="1" wp14:anchorId="3FA09A7B" wp14:editId="0F534577">
                <wp:simplePos x="0" y="0"/>
                <wp:positionH relativeFrom="column">
                  <wp:posOffset>4257675</wp:posOffset>
                </wp:positionH>
                <wp:positionV relativeFrom="paragraph">
                  <wp:posOffset>502920</wp:posOffset>
                </wp:positionV>
                <wp:extent cx="2152650" cy="3009900"/>
                <wp:effectExtent l="0" t="0" r="19050" b="19050"/>
                <wp:wrapSquare wrapText="bothSides"/>
                <wp:docPr id="27" name="Text Box 27"/>
                <wp:cNvGraphicFramePr/>
                <a:graphic xmlns:a="http://schemas.openxmlformats.org/drawingml/2006/main">
                  <a:graphicData uri="http://schemas.microsoft.com/office/word/2010/wordprocessingShape">
                    <wps:wsp>
                      <wps:cNvSpPr txBox="1"/>
                      <wps:spPr>
                        <a:xfrm>
                          <a:off x="0" y="0"/>
                          <a:ext cx="2152650" cy="3009900"/>
                        </a:xfrm>
                        <a:prstGeom prst="rect">
                          <a:avLst/>
                        </a:prstGeom>
                        <a:solidFill>
                          <a:sysClr val="window" lastClr="FFFFFF"/>
                        </a:solidFill>
                        <a:ln w="6350">
                          <a:solidFill>
                            <a:prstClr val="black"/>
                          </a:solidFill>
                        </a:ln>
                        <a:effectLst/>
                      </wps:spPr>
                      <wps:txbx>
                        <w:txbxContent>
                          <w:p w:rsidR="00E67D5A" w:rsidRDefault="00E67D5A" w:rsidP="00E67D5A">
                            <w:r>
                              <w:rPr>
                                <w:noProof/>
                                <w:lang w:eastAsia="en-GB"/>
                              </w:rPr>
                              <w:drawing>
                                <wp:inline distT="0" distB="0" distL="0" distR="0" wp14:anchorId="711BA4EC" wp14:editId="4C92F6CE">
                                  <wp:extent cx="1981200" cy="264185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52).JPG"/>
                                          <pic:cNvPicPr/>
                                        </pic:nvPicPr>
                                        <pic:blipFill>
                                          <a:blip r:embed="rId24" cstate="emai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982938" cy="2644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left:0;text-align:left;margin-left:335.25pt;margin-top:39.6pt;width:169.5pt;height:2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" fillcolor="window" strokeweight=".5pt">
                <v:textbox>
                  <w:txbxContent>
                    <w:p w:rsidR="00E67D5A" w:rsidRDefault="00E67D5A" w:rsidP="00E67D5A">
                      <w:r>
                        <w:rPr>
                          <w:noProof/>
                          <w:lang w:eastAsia="en-GB"/>
                        </w:rPr>
                        <w:drawing>
                          <wp:inline distT="0" distB="0" distL="0" distR="0" wp14:anchorId="711BA4EC" wp14:editId="4C92F6CE">
                            <wp:extent cx="1981200" cy="264185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52).JPG"/>
                                    <pic:cNvPicPr/>
                                  </pic:nvPicPr>
                                  <pic:blipFill>
                                    <a:blip r:embed="rId26" cstate="emai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982938" cy="2644175"/>
                                    </a:xfrm>
                                    <a:prstGeom prst="rect">
                                      <a:avLst/>
                                    </a:prstGeom>
                                  </pic:spPr>
                                </pic:pic>
                              </a:graphicData>
                            </a:graphic>
                          </wp:inline>
                        </w:drawing>
                      </w:r>
                    </w:p>
                  </w:txbxContent>
                </v:textbox>
                <w10:wrap type="square"/>
              </v:shape>
            </w:pict>
          </mc:Fallback>
        </mc:AlternateContent>
      </w:r>
      <w:r w:rsidRPr="00B54676">
        <w:rPr>
          <w:rFonts w:ascii="Tahoma" w:eastAsia="Calibri" w:hAnsi="Tahoma" w:cs="Tahoma"/>
          <w:b/>
          <w:i/>
        </w:rPr>
        <w:t>Promoting rights:</w:t>
      </w:r>
      <w:r w:rsidRPr="00B54676">
        <w:rPr>
          <w:rFonts w:ascii="Tahoma" w:eastAsia="Calibri" w:hAnsi="Tahoma" w:cs="Tahoma"/>
        </w:rPr>
        <w:t xml:space="preserve"> The analysis shows that the case studies have a strong rights-based focus (freedom from violence; </w:t>
      </w:r>
      <w:proofErr w:type="spellStart"/>
      <w:r w:rsidRPr="00B54676">
        <w:rPr>
          <w:rFonts w:ascii="Tahoma" w:eastAsia="Calibri" w:hAnsi="Tahoma" w:cs="Tahoma"/>
        </w:rPr>
        <w:t>SRR</w:t>
      </w:r>
      <w:proofErr w:type="spellEnd"/>
      <w:r w:rsidRPr="00B54676">
        <w:rPr>
          <w:rFonts w:ascii="Tahoma" w:eastAsia="Calibri" w:hAnsi="Tahoma" w:cs="Tahoma"/>
        </w:rPr>
        <w:t>). Some of the more sensitive areas (sexual pleasure, abortion, and sexual freedom) are not as prominent; however the fact that they are featuring on local agendas is a positive sign.</w:t>
      </w: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noProof/>
          <w:lang w:eastAsia="en-GB"/>
        </w:rPr>
        <w:drawing>
          <wp:inline distT="0" distB="0" distL="0" distR="0" wp14:anchorId="089CA579" wp14:editId="7C84D21E">
            <wp:extent cx="3796631" cy="236127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9555" cy="2369314"/>
                    </a:xfrm>
                    <a:prstGeom prst="rect">
                      <a:avLst/>
                    </a:prstGeom>
                    <a:noFill/>
                  </pic:spPr>
                </pic:pic>
              </a:graphicData>
            </a:graphic>
          </wp:inline>
        </w:drawing>
      </w: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b/>
          <w:i/>
        </w:rPr>
        <w:t>In a proactive way:</w:t>
      </w:r>
      <w:r w:rsidRPr="00B54676">
        <w:rPr>
          <w:rFonts w:ascii="Tahoma" w:eastAsia="Calibri" w:hAnsi="Tahoma" w:cs="Tahoma"/>
          <w:b/>
        </w:rPr>
        <w:t xml:space="preserve"> </w:t>
      </w:r>
      <w:r w:rsidRPr="00B54676">
        <w:rPr>
          <w:rFonts w:ascii="Tahoma" w:eastAsia="Calibri" w:hAnsi="Tahoma" w:cs="Tahoma"/>
        </w:rPr>
        <w:t>The largest proportion of interventions concerns support (36%) and prevention (33%) of GBV, and HIV and AIDS.  It is encouraging to see that these proactive and preventive approaches feature more prominently than the reactive ones (response, care and treatment).</w:t>
      </w:r>
      <w:r>
        <w:rPr>
          <w:rFonts w:ascii="Tahoma" w:eastAsia="Calibri" w:hAnsi="Tahoma" w:cs="Tahoma"/>
        </w:rPr>
        <w:t xml:space="preserve"> This is an important paradigm shift in the region, and one that opens space for more rights-based approaches. </w:t>
      </w: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p>
    <w:p w:rsidR="00E67D5A" w:rsidRPr="00B54676" w:rsidRDefault="00E67D5A" w:rsidP="00E67D5A">
      <w:pPr>
        <w:spacing w:after="0" w:line="240" w:lineRule="auto"/>
        <w:jc w:val="both"/>
        <w:rPr>
          <w:rFonts w:ascii="Tahoma" w:eastAsia="Calibri" w:hAnsi="Tahoma" w:cs="Tahoma"/>
        </w:rPr>
      </w:pPr>
      <w:r w:rsidRPr="00B54676">
        <w:rPr>
          <w:rFonts w:ascii="Tahoma" w:eastAsia="Calibri" w:hAnsi="Tahoma" w:cs="Tahoma"/>
          <w:noProof/>
          <w:lang w:eastAsia="en-GB"/>
        </w:rPr>
        <w:lastRenderedPageBreak/>
        <w:drawing>
          <wp:inline distT="0" distB="0" distL="0" distR="0" wp14:anchorId="0E7DCDD3" wp14:editId="0B4DD3F9">
            <wp:extent cx="5229225" cy="21812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67D5A" w:rsidRPr="00B54676" w:rsidRDefault="00E67D5A" w:rsidP="00E67D5A">
      <w:pPr>
        <w:spacing w:after="0" w:line="240" w:lineRule="auto"/>
        <w:jc w:val="both"/>
        <w:rPr>
          <w:rFonts w:ascii="Tahoma" w:eastAsia="Calibri" w:hAnsi="Tahoma" w:cs="Tahoma"/>
        </w:rPr>
      </w:pPr>
    </w:p>
    <w:p w:rsidR="00E67D5A" w:rsidRDefault="00E67D5A" w:rsidP="00E67D5A">
      <w:pPr>
        <w:spacing w:after="0" w:line="240" w:lineRule="auto"/>
        <w:jc w:val="both"/>
        <w:rPr>
          <w:rFonts w:ascii="Tahoma" w:eastAsia="Calibri" w:hAnsi="Tahoma" w:cs="Tahoma"/>
        </w:rPr>
      </w:pPr>
      <w:r w:rsidRPr="00B54676">
        <w:rPr>
          <w:rFonts w:ascii="Tahoma" w:eastAsia="Calibri" w:hAnsi="Tahoma" w:cs="Tahoma"/>
          <w:b/>
          <w:i/>
        </w:rPr>
        <w:t>Changing attitudes and behaviour:</w:t>
      </w:r>
      <w:r w:rsidRPr="00B54676">
        <w:rPr>
          <w:rFonts w:ascii="Tahoma" w:eastAsia="Calibri" w:hAnsi="Tahoma" w:cs="Tahoma"/>
        </w:rPr>
        <w:t xml:space="preserve"> The most </w:t>
      </w:r>
      <w:r>
        <w:rPr>
          <w:rFonts w:ascii="Tahoma" w:eastAsia="Calibri" w:hAnsi="Tahoma" w:cs="Tahoma"/>
        </w:rPr>
        <w:t xml:space="preserve">reported </w:t>
      </w:r>
      <w:r w:rsidRPr="00B54676">
        <w:rPr>
          <w:rFonts w:ascii="Tahoma" w:eastAsia="Calibri" w:hAnsi="Tahoma" w:cs="Tahoma"/>
        </w:rPr>
        <w:t xml:space="preserve">change </w:t>
      </w:r>
      <w:r>
        <w:rPr>
          <w:rFonts w:ascii="Tahoma" w:eastAsia="Calibri" w:hAnsi="Tahoma" w:cs="Tahoma"/>
        </w:rPr>
        <w:t xml:space="preserve">in case studies analysed concerned greater </w:t>
      </w:r>
      <w:r w:rsidRPr="00B54676">
        <w:rPr>
          <w:rFonts w:ascii="Tahoma" w:eastAsia="Calibri" w:hAnsi="Tahoma" w:cs="Tahoma"/>
        </w:rPr>
        <w:t>public awareness</w:t>
      </w:r>
      <w:r>
        <w:rPr>
          <w:rFonts w:ascii="Tahoma" w:eastAsia="Calibri" w:hAnsi="Tahoma" w:cs="Tahoma"/>
        </w:rPr>
        <w:t xml:space="preserve"> (18%),</w:t>
      </w:r>
      <w:r w:rsidRPr="00B54676">
        <w:rPr>
          <w:rFonts w:ascii="Tahoma" w:eastAsia="Calibri" w:hAnsi="Tahoma" w:cs="Tahoma"/>
        </w:rPr>
        <w:t xml:space="preserve"> </w:t>
      </w:r>
      <w:r>
        <w:rPr>
          <w:rFonts w:ascii="Tahoma" w:eastAsia="Calibri" w:hAnsi="Tahoma" w:cs="Tahoma"/>
        </w:rPr>
        <w:t xml:space="preserve">followed by </w:t>
      </w:r>
      <w:r w:rsidRPr="00B54676">
        <w:rPr>
          <w:rFonts w:ascii="Tahoma" w:eastAsia="Calibri" w:hAnsi="Tahoma" w:cs="Tahoma"/>
        </w:rPr>
        <w:t>behaviour change</w:t>
      </w:r>
      <w:r>
        <w:rPr>
          <w:rFonts w:ascii="Tahoma" w:eastAsia="Calibri" w:hAnsi="Tahoma" w:cs="Tahoma"/>
        </w:rPr>
        <w:t xml:space="preserve"> (17%); reduced stigma (12%) and improved services (8%). The summary below of a case study from </w:t>
      </w:r>
      <w:r w:rsidRPr="006473B9">
        <w:rPr>
          <w:rFonts w:ascii="Tahoma" w:eastAsia="Calibri" w:hAnsi="Tahoma" w:cs="Tahoma"/>
          <w:b/>
        </w:rPr>
        <w:t>Madagascar</w:t>
      </w:r>
      <w:r>
        <w:rPr>
          <w:rFonts w:ascii="Tahoma" w:eastAsia="Calibri" w:hAnsi="Tahoma" w:cs="Tahoma"/>
        </w:rPr>
        <w:t xml:space="preserve"> shows how this is achieved: </w:t>
      </w:r>
    </w:p>
    <w:p w:rsidR="00E67D5A" w:rsidRPr="00B54676" w:rsidRDefault="00E67D5A" w:rsidP="00E67D5A">
      <w:pPr>
        <w:spacing w:after="0" w:line="240" w:lineRule="auto"/>
        <w:jc w:val="both"/>
        <w:rPr>
          <w:rFonts w:ascii="Tahoma" w:eastAsia="Calibri" w:hAnsi="Tahoma" w:cs="Tahoma"/>
        </w:rPr>
      </w:pPr>
    </w:p>
    <w:p w:rsidR="00E67D5A" w:rsidRPr="00F836E9" w:rsidRDefault="00E67D5A" w:rsidP="00E67D5A">
      <w:pPr>
        <w:shd w:val="clear" w:color="auto" w:fill="F2F2F2" w:themeFill="background1" w:themeFillShade="F2"/>
        <w:jc w:val="both"/>
        <w:rPr>
          <w:rFonts w:ascii="Tahoma" w:eastAsia="MS Mincho" w:hAnsi="Tahoma" w:cs="Tahoma"/>
        </w:rPr>
      </w:pPr>
      <w:r>
        <w:rPr>
          <w:rFonts w:ascii="Tahoma" w:eastAsia="MS Mincho" w:hAnsi="Tahoma" w:cs="Tahoma"/>
        </w:rPr>
        <w:t xml:space="preserve">In 2012 the gender committee of the </w:t>
      </w:r>
      <w:r w:rsidRPr="00F836E9">
        <w:rPr>
          <w:rFonts w:ascii="Tahoma" w:eastAsia="MS Mincho" w:hAnsi="Tahoma" w:cs="Tahoma"/>
        </w:rPr>
        <w:t xml:space="preserve">rural council of </w:t>
      </w:r>
      <w:proofErr w:type="spellStart"/>
      <w:r w:rsidRPr="00F836E9">
        <w:rPr>
          <w:rFonts w:ascii="Tahoma" w:eastAsia="MS Mincho" w:hAnsi="Tahoma" w:cs="Tahoma"/>
          <w:b/>
        </w:rPr>
        <w:t>Tsiafahy</w:t>
      </w:r>
      <w:proofErr w:type="spellEnd"/>
      <w:r>
        <w:rPr>
          <w:rFonts w:ascii="Tahoma" w:eastAsia="MS Mincho" w:hAnsi="Tahoma" w:cs="Tahoma"/>
          <w:b/>
        </w:rPr>
        <w:t xml:space="preserve">, </w:t>
      </w:r>
      <w:r>
        <w:rPr>
          <w:rFonts w:ascii="Tahoma" w:eastAsia="MS Mincho" w:hAnsi="Tahoma" w:cs="Tahoma"/>
        </w:rPr>
        <w:t>a GL COE,</w:t>
      </w:r>
      <w:r w:rsidRPr="006473B9">
        <w:rPr>
          <w:rFonts w:ascii="Tahoma" w:eastAsia="MS Mincho" w:hAnsi="Tahoma" w:cs="Tahoma"/>
          <w:b/>
        </w:rPr>
        <w:t xml:space="preserve"> </w:t>
      </w:r>
      <w:r>
        <w:rPr>
          <w:rFonts w:ascii="Tahoma" w:eastAsia="MS Mincho" w:hAnsi="Tahoma" w:cs="Tahoma"/>
        </w:rPr>
        <w:t xml:space="preserve">created an </w:t>
      </w:r>
      <w:r w:rsidRPr="00F836E9">
        <w:rPr>
          <w:rFonts w:ascii="Tahoma" w:eastAsia="MS Mincho" w:hAnsi="Tahoma" w:cs="Tahoma"/>
        </w:rPr>
        <w:t xml:space="preserve">association </w:t>
      </w:r>
      <w:r>
        <w:rPr>
          <w:rFonts w:ascii="Tahoma" w:eastAsia="MS Mincho" w:hAnsi="Tahoma" w:cs="Tahoma"/>
        </w:rPr>
        <w:t>called Amis</w:t>
      </w:r>
      <w:r w:rsidRPr="00F836E9">
        <w:rPr>
          <w:rFonts w:ascii="Tahoma" w:eastAsia="MS Mincho" w:hAnsi="Tahoma" w:cs="Tahoma"/>
        </w:rPr>
        <w:t xml:space="preserve"> (</w:t>
      </w:r>
      <w:r w:rsidRPr="00F836E9">
        <w:rPr>
          <w:rFonts w:ascii="Tahoma" w:eastAsia="MS Mincho" w:hAnsi="Tahoma" w:cs="Tahoma"/>
          <w:i/>
        </w:rPr>
        <w:t>friend</w:t>
      </w:r>
      <w:r w:rsidRPr="00F836E9">
        <w:rPr>
          <w:rFonts w:ascii="Tahoma" w:eastAsia="MS Mincho" w:hAnsi="Tahoma" w:cs="Tahoma"/>
        </w:rPr>
        <w:t xml:space="preserve">) </w:t>
      </w:r>
      <w:r>
        <w:rPr>
          <w:rFonts w:ascii="Tahoma" w:eastAsia="MS Mincho" w:hAnsi="Tahoma" w:cs="Tahoma"/>
        </w:rPr>
        <w:t xml:space="preserve">focusing </w:t>
      </w:r>
      <w:r w:rsidRPr="00F836E9">
        <w:rPr>
          <w:rFonts w:ascii="Tahoma" w:eastAsia="MS Mincho" w:hAnsi="Tahoma" w:cs="Tahoma"/>
        </w:rPr>
        <w:t>on education, informati</w:t>
      </w:r>
      <w:r>
        <w:rPr>
          <w:rFonts w:ascii="Tahoma" w:eastAsia="MS Mincho" w:hAnsi="Tahoma" w:cs="Tahoma"/>
        </w:rPr>
        <w:t>on and sensitis</w:t>
      </w:r>
      <w:r w:rsidRPr="00F836E9">
        <w:rPr>
          <w:rFonts w:ascii="Tahoma" w:eastAsia="MS Mincho" w:hAnsi="Tahoma" w:cs="Tahoma"/>
        </w:rPr>
        <w:t xml:space="preserve">ation of young people on gender, gender violence, sexual and reproductive health. Led by an active young teacher, </w:t>
      </w:r>
      <w:r>
        <w:rPr>
          <w:rFonts w:ascii="Tahoma" w:eastAsia="MS Mincho" w:hAnsi="Tahoma" w:cs="Tahoma"/>
        </w:rPr>
        <w:t>w</w:t>
      </w:r>
      <w:r w:rsidRPr="00F836E9">
        <w:rPr>
          <w:rFonts w:ascii="Tahoma" w:eastAsia="MS Mincho" w:hAnsi="Tahoma" w:cs="Tahoma"/>
        </w:rPr>
        <w:t xml:space="preserve">ith the support of local health centres, they visited the 15 hamlets of the council to </w:t>
      </w:r>
      <w:r>
        <w:rPr>
          <w:rFonts w:ascii="Tahoma" w:eastAsia="MS Mincho" w:hAnsi="Tahoma" w:cs="Tahoma"/>
        </w:rPr>
        <w:t xml:space="preserve">offer </w:t>
      </w:r>
      <w:r w:rsidRPr="00F836E9">
        <w:rPr>
          <w:rFonts w:ascii="Tahoma" w:eastAsia="MS Mincho" w:hAnsi="Tahoma" w:cs="Tahoma"/>
        </w:rPr>
        <w:t xml:space="preserve">free HIV testing and medical consultation. </w:t>
      </w:r>
      <w:r>
        <w:rPr>
          <w:rFonts w:ascii="Tahoma" w:eastAsia="MS Mincho" w:hAnsi="Tahoma" w:cs="Tahoma"/>
        </w:rPr>
        <w:t>This led to spirited campaigns during the Sixteen Days of Activism on SRHR; periodic sensitis</w:t>
      </w:r>
      <w:r w:rsidRPr="00F836E9">
        <w:rPr>
          <w:rFonts w:ascii="Tahoma" w:eastAsia="MS Mincho" w:hAnsi="Tahoma" w:cs="Tahoma"/>
        </w:rPr>
        <w:t>ation campaigns in schools</w:t>
      </w:r>
      <w:r>
        <w:rPr>
          <w:rFonts w:ascii="Tahoma" w:eastAsia="MS Mincho" w:hAnsi="Tahoma" w:cs="Tahoma"/>
        </w:rPr>
        <w:t>.</w:t>
      </w:r>
      <w:r w:rsidRPr="00F836E9">
        <w:rPr>
          <w:rFonts w:ascii="Tahoma" w:eastAsia="MS Mincho" w:hAnsi="Tahoma" w:cs="Tahoma"/>
        </w:rPr>
        <w:t xml:space="preserve"> </w:t>
      </w:r>
      <w:r>
        <w:rPr>
          <w:rFonts w:ascii="Tahoma" w:eastAsia="MS Mincho" w:hAnsi="Tahoma" w:cs="Tahoma"/>
        </w:rPr>
        <w:t>I</w:t>
      </w:r>
      <w:r w:rsidRPr="00F836E9">
        <w:rPr>
          <w:rFonts w:ascii="Tahoma" w:eastAsia="MS Mincho" w:hAnsi="Tahoma" w:cs="Tahoma"/>
        </w:rPr>
        <w:t xml:space="preserve">n 2014, the association </w:t>
      </w:r>
      <w:r>
        <w:rPr>
          <w:rFonts w:ascii="Tahoma" w:eastAsia="MS Mincho" w:hAnsi="Tahoma" w:cs="Tahoma"/>
        </w:rPr>
        <w:t xml:space="preserve">teamed up with </w:t>
      </w:r>
      <w:r w:rsidRPr="00F836E9">
        <w:rPr>
          <w:rFonts w:ascii="Tahoma" w:eastAsia="MS Mincho" w:hAnsi="Tahoma" w:cs="Tahoma"/>
        </w:rPr>
        <w:t xml:space="preserve">the Ministry of Health and UN agencies </w:t>
      </w:r>
      <w:r>
        <w:rPr>
          <w:rFonts w:ascii="Tahoma" w:eastAsia="MS Mincho" w:hAnsi="Tahoma" w:cs="Tahoma"/>
        </w:rPr>
        <w:t xml:space="preserve">to launch </w:t>
      </w:r>
      <w:r w:rsidRPr="00F836E9">
        <w:rPr>
          <w:rFonts w:ascii="Tahoma" w:eastAsia="MS Mincho" w:hAnsi="Tahoma" w:cs="Tahoma"/>
        </w:rPr>
        <w:t>“</w:t>
      </w:r>
      <w:proofErr w:type="spellStart"/>
      <w:r w:rsidRPr="00F836E9">
        <w:rPr>
          <w:rFonts w:ascii="Tahoma" w:eastAsia="MS Mincho" w:hAnsi="Tahoma" w:cs="Tahoma"/>
        </w:rPr>
        <w:t>Allo</w:t>
      </w:r>
      <w:proofErr w:type="spellEnd"/>
      <w:r w:rsidRPr="00F836E9">
        <w:rPr>
          <w:rFonts w:ascii="Tahoma" w:eastAsia="MS Mincho" w:hAnsi="Tahoma" w:cs="Tahoma"/>
        </w:rPr>
        <w:t xml:space="preserve"> </w:t>
      </w:r>
      <w:proofErr w:type="spellStart"/>
      <w:r w:rsidRPr="00F836E9">
        <w:rPr>
          <w:rFonts w:ascii="Tahoma" w:eastAsia="MS Mincho" w:hAnsi="Tahoma" w:cs="Tahoma"/>
        </w:rPr>
        <w:t>Fanantenana</w:t>
      </w:r>
      <w:proofErr w:type="spellEnd"/>
      <w:r w:rsidRPr="00F836E9">
        <w:rPr>
          <w:rFonts w:ascii="Tahoma" w:eastAsia="MS Mincho" w:hAnsi="Tahoma" w:cs="Tahoma"/>
        </w:rPr>
        <w:t xml:space="preserve">”, free phoning, in which young </w:t>
      </w:r>
      <w:r>
        <w:rPr>
          <w:rFonts w:ascii="Tahoma" w:eastAsia="MS Mincho" w:hAnsi="Tahoma" w:cs="Tahoma"/>
        </w:rPr>
        <w:t>people can get free counselling and</w:t>
      </w:r>
      <w:r w:rsidRPr="00F836E9">
        <w:rPr>
          <w:rFonts w:ascii="Tahoma" w:eastAsia="MS Mincho" w:hAnsi="Tahoma" w:cs="Tahoma"/>
        </w:rPr>
        <w:t xml:space="preserve"> information that it is free, </w:t>
      </w:r>
      <w:r>
        <w:rPr>
          <w:rFonts w:ascii="Tahoma" w:eastAsia="MS Mincho" w:hAnsi="Tahoma" w:cs="Tahoma"/>
        </w:rPr>
        <w:t>easy to access and confidential, often provided by peers.</w:t>
      </w:r>
      <w:r w:rsidRPr="00F836E9">
        <w:rPr>
          <w:rFonts w:ascii="Tahoma" w:eastAsia="MS Mincho" w:hAnsi="Tahoma" w:cs="Tahoma"/>
        </w:rPr>
        <w:t xml:space="preserve"> </w:t>
      </w:r>
      <w:r>
        <w:rPr>
          <w:rFonts w:ascii="Tahoma" w:eastAsia="MS Mincho" w:hAnsi="Tahoma" w:cs="Tahoma"/>
        </w:rPr>
        <w:t xml:space="preserve">The youth have created </w:t>
      </w:r>
      <w:r w:rsidRPr="00F836E9">
        <w:rPr>
          <w:rFonts w:ascii="Tahoma" w:eastAsia="MS Mincho" w:hAnsi="Tahoma" w:cs="Tahoma"/>
        </w:rPr>
        <w:t>radio drama</w:t>
      </w:r>
      <w:r>
        <w:rPr>
          <w:rFonts w:ascii="Tahoma" w:eastAsia="MS Mincho" w:hAnsi="Tahoma" w:cs="Tahoma"/>
        </w:rPr>
        <w:t>s conveying</w:t>
      </w:r>
      <w:r w:rsidRPr="00F836E9">
        <w:rPr>
          <w:rFonts w:ascii="Tahoma" w:eastAsia="MS Mincho" w:hAnsi="Tahoma" w:cs="Tahoma"/>
        </w:rPr>
        <w:t xml:space="preserve"> messages </w:t>
      </w:r>
      <w:r>
        <w:rPr>
          <w:rFonts w:ascii="Tahoma" w:eastAsia="MS Mincho" w:hAnsi="Tahoma" w:cs="Tahoma"/>
        </w:rPr>
        <w:t xml:space="preserve">on </w:t>
      </w:r>
      <w:r w:rsidRPr="00F836E9">
        <w:rPr>
          <w:rFonts w:ascii="Tahoma" w:eastAsia="MS Mincho" w:hAnsi="Tahoma" w:cs="Tahoma"/>
        </w:rPr>
        <w:t xml:space="preserve">gender </w:t>
      </w:r>
      <w:r>
        <w:rPr>
          <w:rFonts w:ascii="Tahoma" w:eastAsia="MS Mincho" w:hAnsi="Tahoma" w:cs="Tahoma"/>
          <w:noProof/>
          <w:lang w:eastAsia="en-GB"/>
        </w:rPr>
        <w:drawing>
          <wp:anchor distT="0" distB="0" distL="114300" distR="114300" simplePos="0" relativeHeight="251678720" behindDoc="0" locked="0" layoutInCell="1" allowOverlap="1" wp14:anchorId="43C9B366" wp14:editId="2BF435E2">
            <wp:simplePos x="0" y="0"/>
            <wp:positionH relativeFrom="column">
              <wp:posOffset>3771900</wp:posOffset>
            </wp:positionH>
            <wp:positionV relativeFrom="paragraph">
              <wp:posOffset>1747520</wp:posOffset>
            </wp:positionV>
            <wp:extent cx="1955165" cy="1543050"/>
            <wp:effectExtent l="0" t="0" r="6985" b="0"/>
            <wp:wrapSquare wrapText="bothSides"/>
            <wp:docPr id="18" name="Picture 18" descr="C:\Users\Colleen\Music\Pictures\Case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Music\Pictures\Case stud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516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6E9">
        <w:rPr>
          <w:rFonts w:ascii="Tahoma" w:eastAsia="MS Mincho" w:hAnsi="Tahoma" w:cs="Tahoma"/>
        </w:rPr>
        <w:t>equality gender violence</w:t>
      </w:r>
      <w:r>
        <w:rPr>
          <w:rFonts w:ascii="Tahoma" w:eastAsia="MS Mincho" w:hAnsi="Tahoma" w:cs="Tahoma"/>
        </w:rPr>
        <w:t xml:space="preserve">, SRHR breaking the </w:t>
      </w:r>
      <w:r w:rsidRPr="00F836E9">
        <w:rPr>
          <w:rFonts w:ascii="Tahoma" w:eastAsia="MS Mincho" w:hAnsi="Tahoma" w:cs="Tahoma"/>
        </w:rPr>
        <w:t>taboo</w:t>
      </w:r>
      <w:r>
        <w:rPr>
          <w:rFonts w:ascii="Tahoma" w:eastAsia="MS Mincho" w:hAnsi="Tahoma" w:cs="Tahoma"/>
        </w:rPr>
        <w:t>s on these topics</w:t>
      </w:r>
      <w:r w:rsidRPr="00F836E9">
        <w:rPr>
          <w:rFonts w:ascii="Tahoma" w:eastAsia="MS Mincho" w:hAnsi="Tahoma" w:cs="Tahoma"/>
        </w:rPr>
        <w:t xml:space="preserve"> in </w:t>
      </w:r>
      <w:r>
        <w:rPr>
          <w:rFonts w:ascii="Tahoma" w:eastAsia="MS Mincho" w:hAnsi="Tahoma" w:cs="Tahoma"/>
        </w:rPr>
        <w:t>the community.</w:t>
      </w:r>
      <w:r w:rsidRPr="00F836E9">
        <w:rPr>
          <w:rFonts w:ascii="Tahoma" w:eastAsia="MS Mincho" w:hAnsi="Tahoma" w:cs="Tahoma"/>
        </w:rPr>
        <w:t xml:space="preserve"> Thanks to the association’s activities, the council included strategies for young people in the develop</w:t>
      </w:r>
      <w:r>
        <w:rPr>
          <w:rFonts w:ascii="Tahoma" w:eastAsia="MS Mincho" w:hAnsi="Tahoma" w:cs="Tahoma"/>
        </w:rPr>
        <w:t xml:space="preserve">ment action plan of the council, which won the runner up award for Madagascar in the SRHR category in the 2015 SADC </w:t>
      </w:r>
      <w:proofErr w:type="spellStart"/>
      <w:r>
        <w:rPr>
          <w:rFonts w:ascii="Tahoma" w:eastAsia="MS Mincho" w:hAnsi="Tahoma" w:cs="Tahoma"/>
        </w:rPr>
        <w:t>Protcol@Work</w:t>
      </w:r>
      <w:proofErr w:type="spellEnd"/>
      <w:r>
        <w:rPr>
          <w:rFonts w:ascii="Tahoma" w:eastAsia="MS Mincho" w:hAnsi="Tahoma" w:cs="Tahoma"/>
        </w:rPr>
        <w:t xml:space="preserve"> summit in Madagascar, where the mayor received the award.    </w:t>
      </w:r>
      <w:r w:rsidRPr="00F836E9">
        <w:rPr>
          <w:rFonts w:ascii="Tahoma" w:eastAsia="MS Mincho" w:hAnsi="Tahoma" w:cs="Tahoma"/>
        </w:rPr>
        <w:t xml:space="preserve"> </w:t>
      </w:r>
    </w:p>
    <w:p w:rsidR="00E67D5A" w:rsidRPr="00B54676" w:rsidRDefault="00E67D5A" w:rsidP="00E67D5A">
      <w:pPr>
        <w:jc w:val="both"/>
        <w:rPr>
          <w:rFonts w:ascii="Tahoma" w:eastAsia="Calibri" w:hAnsi="Tahoma" w:cs="Tahoma"/>
        </w:rPr>
      </w:pPr>
      <w:r>
        <w:rPr>
          <w:rFonts w:ascii="Tahoma" w:eastAsia="Calibri" w:hAnsi="Tahoma" w:cs="Tahoma"/>
          <w:b/>
          <w:i/>
        </w:rPr>
        <w:t>Laws, policies and regulations:</w:t>
      </w:r>
      <w:r w:rsidRPr="00B54676">
        <w:rPr>
          <w:rFonts w:ascii="Tahoma" w:eastAsia="Calibri" w:hAnsi="Tahoma" w:cs="Tahoma"/>
          <w:b/>
          <w:i/>
        </w:rPr>
        <w:t xml:space="preserve"> </w:t>
      </w:r>
      <w:r>
        <w:rPr>
          <w:rFonts w:ascii="Tahoma" w:eastAsia="Calibri" w:hAnsi="Tahoma" w:cs="Tahoma"/>
        </w:rPr>
        <w:t xml:space="preserve">Seven percent of the case studies concerned changes in laws, policies and regulations on SRHR. Six SADC countries now have SRHR laws. The Alliance is campaigning for SRHR policies in the other nine - </w:t>
      </w:r>
    </w:p>
    <w:p w:rsidR="00E67D5A" w:rsidRPr="00B54676" w:rsidRDefault="00E67D5A" w:rsidP="00E67D5A">
      <w:pPr>
        <w:spacing w:after="0" w:line="240" w:lineRule="auto"/>
        <w:jc w:val="both"/>
        <w:rPr>
          <w:rFonts w:ascii="Tahoma" w:eastAsia="Calibri" w:hAnsi="Tahoma" w:cs="Tahoma"/>
          <w:i/>
        </w:rPr>
      </w:pPr>
      <w:r w:rsidRPr="00B54676">
        <w:rPr>
          <w:rFonts w:ascii="Calibri" w:eastAsia="Calibri" w:hAnsi="Calibri" w:cs="Tahoma"/>
          <w:noProof/>
          <w:sz w:val="24"/>
          <w:lang w:eastAsia="en-GB"/>
        </w:rPr>
        <w:drawing>
          <wp:anchor distT="0" distB="0" distL="114300" distR="114300" simplePos="0" relativeHeight="251673600" behindDoc="0" locked="0" layoutInCell="1" allowOverlap="1" wp14:anchorId="52C3F32C" wp14:editId="4254B12E">
            <wp:simplePos x="0" y="0"/>
            <wp:positionH relativeFrom="column">
              <wp:posOffset>4219575</wp:posOffset>
            </wp:positionH>
            <wp:positionV relativeFrom="paragraph">
              <wp:posOffset>73025</wp:posOffset>
            </wp:positionV>
            <wp:extent cx="1683385" cy="1952625"/>
            <wp:effectExtent l="0" t="0" r="0" b="9525"/>
            <wp:wrapSquare wrapText="bothSides"/>
            <wp:docPr id="20" name="Picture 20" descr="http://preditor.genderlinks.org.za/assets/pages/images/02539_resized_10647_thumbnail_baro2015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ditor.genderlinks.org.za/assets/pages/images/02539_resized_10647_thumbnail_baro2015cov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338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676">
        <w:rPr>
          <w:rFonts w:ascii="Tahoma" w:eastAsia="Calibri" w:hAnsi="Tahoma" w:cs="Tahoma"/>
          <w:b/>
          <w:i/>
        </w:rPr>
        <w:t>Innovation</w:t>
      </w:r>
      <w:r>
        <w:rPr>
          <w:rFonts w:ascii="Tahoma" w:eastAsia="Calibri" w:hAnsi="Tahoma" w:cs="Tahoma"/>
          <w:b/>
          <w:i/>
        </w:rPr>
        <w:t xml:space="preserve">: changing regional and global SRHR standards from the bottom up: </w:t>
      </w:r>
      <w:r>
        <w:rPr>
          <w:rFonts w:ascii="Tahoma" w:eastAsia="Calibri" w:hAnsi="Tahoma" w:cs="Tahoma"/>
        </w:rPr>
        <w:t xml:space="preserve">GL used the 2015 case studies to make the case in the 2015 Barometer for stronger language on SRHR in the post 2015 SADC Gender Protocol and through the Women’s Major Group, in the SDGs. The draft post 2015 Protocol, to be adopted by Heads of State in August 2015, has a specific section on SRHR, and adopts SDG, Beijing Plus Twenty and </w:t>
      </w:r>
      <w:proofErr w:type="spellStart"/>
      <w:r>
        <w:rPr>
          <w:rFonts w:ascii="Tahoma" w:eastAsia="Calibri" w:hAnsi="Tahoma" w:cs="Tahoma"/>
        </w:rPr>
        <w:t>IPDC</w:t>
      </w:r>
      <w:proofErr w:type="spellEnd"/>
      <w:r>
        <w:rPr>
          <w:rFonts w:ascii="Tahoma" w:eastAsia="Calibri" w:hAnsi="Tahoma" w:cs="Tahoma"/>
        </w:rPr>
        <w:t xml:space="preserve"> standards for its Post 2015 Monitoring, Evaluation and Results Framework.   </w:t>
      </w:r>
      <w:r w:rsidRPr="00B54676">
        <w:rPr>
          <w:rFonts w:ascii="Tahoma" w:eastAsia="Calibri" w:hAnsi="Tahoma" w:cs="Tahoma"/>
          <w:b/>
          <w:i/>
        </w:rPr>
        <w:t xml:space="preserve"> </w:t>
      </w:r>
    </w:p>
    <w:p w:rsidR="00E67D5A" w:rsidRPr="00B54676" w:rsidRDefault="00E67D5A" w:rsidP="00E67D5A">
      <w:pPr>
        <w:spacing w:after="0" w:line="240" w:lineRule="auto"/>
        <w:jc w:val="both"/>
        <w:rPr>
          <w:rFonts w:ascii="Tahoma" w:eastAsia="Calibri" w:hAnsi="Tahoma" w:cs="Tahoma"/>
          <w:lang w:eastAsia="en-ZA"/>
        </w:rPr>
      </w:pPr>
      <w:r w:rsidRPr="00B54676">
        <w:rPr>
          <w:rFonts w:ascii="Tahoma" w:eastAsia="Calibri" w:hAnsi="Tahoma" w:cs="Tahoma"/>
          <w:lang w:eastAsia="en-ZA"/>
        </w:rPr>
        <w:lastRenderedPageBreak/>
        <w:t xml:space="preserve"> </w:t>
      </w:r>
    </w:p>
    <w:p w:rsidR="00E67D5A" w:rsidRDefault="00E67D5A" w:rsidP="00E67D5A">
      <w:pPr>
        <w:spacing w:after="0" w:line="240" w:lineRule="auto"/>
        <w:jc w:val="both"/>
        <w:rPr>
          <w:rFonts w:ascii="Tahoma" w:eastAsia="Calibri" w:hAnsi="Tahoma" w:cs="Tahoma"/>
          <w:b/>
          <w:i/>
        </w:rPr>
      </w:pPr>
    </w:p>
    <w:p w:rsidR="00E67D5A" w:rsidRPr="004E142C" w:rsidRDefault="00E67D5A" w:rsidP="00E67D5A">
      <w:pPr>
        <w:spacing w:after="0" w:line="240" w:lineRule="auto"/>
        <w:jc w:val="both"/>
        <w:rPr>
          <w:rFonts w:ascii="Tahoma" w:eastAsia="Calibri" w:hAnsi="Tahoma" w:cs="Tahoma"/>
        </w:rPr>
      </w:pPr>
      <w:r w:rsidRPr="004E142C">
        <w:rPr>
          <w:rFonts w:ascii="Tahoma" w:eastAsia="Calibri" w:hAnsi="Tahoma" w:cs="Tahoma"/>
          <w:b/>
          <w:i/>
        </w:rPr>
        <w:t xml:space="preserve">Transparency and accountability: </w:t>
      </w:r>
      <w:r>
        <w:rPr>
          <w:rFonts w:ascii="Tahoma" w:eastAsia="Calibri" w:hAnsi="Tahoma" w:cs="Tahoma"/>
        </w:rPr>
        <w:t xml:space="preserve">Summits allow for all work and challenges to be shared and debated. The case studies are housed on the website and in Barometers. They feedback into campaigns led by the target groups.  </w:t>
      </w:r>
    </w:p>
    <w:p w:rsidR="00E67D5A" w:rsidRDefault="00E67D5A" w:rsidP="00E67D5A">
      <w:pPr>
        <w:spacing w:after="0" w:line="240" w:lineRule="auto"/>
        <w:jc w:val="both"/>
        <w:rPr>
          <w:rFonts w:ascii="Tahoma" w:eastAsia="Calibri" w:hAnsi="Tahoma" w:cs="Tahoma"/>
          <w:b/>
        </w:rPr>
      </w:pPr>
    </w:p>
    <w:p w:rsidR="00E67D5A" w:rsidRPr="00B54676" w:rsidRDefault="00E67D5A" w:rsidP="00E67D5A">
      <w:pPr>
        <w:spacing w:after="0" w:line="240" w:lineRule="auto"/>
        <w:jc w:val="both"/>
        <w:rPr>
          <w:rFonts w:ascii="Tahoma" w:eastAsia="Calibri" w:hAnsi="Tahoma" w:cs="Tahoma"/>
          <w:b/>
        </w:rPr>
      </w:pPr>
      <w:r w:rsidRPr="00B54676">
        <w:rPr>
          <w:rFonts w:ascii="Tahoma" w:eastAsia="Calibri" w:hAnsi="Tahoma" w:cs="Tahoma"/>
          <w:b/>
        </w:rPr>
        <w:t xml:space="preserve">Challenges </w:t>
      </w:r>
    </w:p>
    <w:p w:rsidR="00E67D5A" w:rsidRPr="00B54676" w:rsidRDefault="00E67D5A" w:rsidP="00E67D5A">
      <w:pPr>
        <w:spacing w:after="100" w:afterAutospacing="1" w:line="259" w:lineRule="auto"/>
        <w:jc w:val="both"/>
        <w:rPr>
          <w:rFonts w:ascii="Tahoma" w:eastAsia="Times New Roman" w:hAnsi="Tahoma" w:cs="Tahoma"/>
          <w:lang w:eastAsia="en-GB"/>
        </w:rPr>
      </w:pPr>
      <w:r>
        <w:rPr>
          <w:rFonts w:ascii="Tahoma" w:eastAsia="Times New Roman" w:hAnsi="Tahoma" w:cs="Tahoma"/>
          <w:lang w:eastAsia="en-GB"/>
        </w:rPr>
        <w:t xml:space="preserve">As reflected in the 2015 Barometer, only three countries have decriminalised sexual orientation; only South Africa allows choice of termination of pregnancy and no SADC country has decriminalised sex work. Custom, culture and religion remain strong influences on the ground, rolling back progress, especially on work with the three target groups.   </w:t>
      </w:r>
      <w:r w:rsidRPr="00B54676">
        <w:rPr>
          <w:rFonts w:ascii="Tahoma" w:eastAsia="Times New Roman" w:hAnsi="Tahoma" w:cs="Tahoma"/>
          <w:lang w:eastAsia="en-GB"/>
        </w:rPr>
        <w:t xml:space="preserve"> </w:t>
      </w:r>
    </w:p>
    <w:p w:rsidR="00E67D5A" w:rsidRDefault="00E67D5A" w:rsidP="00E67D5A">
      <w:pPr>
        <w:spacing w:after="0"/>
        <w:rPr>
          <w:rFonts w:ascii="Tahoma" w:hAnsi="Tahoma" w:cs="Tahoma"/>
          <w:b/>
        </w:rPr>
      </w:pPr>
      <w:r w:rsidRPr="00202AFC">
        <w:rPr>
          <w:rFonts w:ascii="Tahoma" w:hAnsi="Tahoma" w:cs="Tahoma"/>
          <w:b/>
        </w:rPr>
        <w:t xml:space="preserve">Lessons learned </w:t>
      </w:r>
      <w:r>
        <w:rPr>
          <w:rFonts w:ascii="Tahoma" w:hAnsi="Tahoma" w:cs="Tahoma"/>
          <w:b/>
        </w:rPr>
        <w:t>and next steps</w:t>
      </w:r>
    </w:p>
    <w:p w:rsidR="00E67D5A" w:rsidRDefault="00E67D5A" w:rsidP="00E67D5A">
      <w:pPr>
        <w:spacing w:after="0"/>
        <w:jc w:val="both"/>
        <w:rPr>
          <w:rFonts w:ascii="Tahoma" w:hAnsi="Tahoma" w:cs="Tahoma"/>
        </w:rPr>
      </w:pPr>
      <w:r w:rsidRPr="00305540">
        <w:rPr>
          <w:rFonts w:ascii="Tahoma" w:hAnsi="Tahoma" w:cs="Tahoma"/>
        </w:rPr>
        <w:t>GL has learned to be tactful, diplomatic and incremental in prising open the envelope on SRHR. Work on GBV, HIV and AIDS at the local level has opened the door to other sensitive SRHR issues; for example GL has conducted a pilot project</w:t>
      </w:r>
      <w:r>
        <w:rPr>
          <w:rFonts w:ascii="Tahoma" w:hAnsi="Tahoma" w:cs="Tahoma"/>
        </w:rPr>
        <w:t xml:space="preserve"> </w:t>
      </w:r>
      <w:r w:rsidRPr="00305540">
        <w:rPr>
          <w:rFonts w:ascii="Tahoma" w:hAnsi="Tahoma" w:cs="Tahoma"/>
        </w:rPr>
        <w:t xml:space="preserve">on </w:t>
      </w:r>
      <w:proofErr w:type="spellStart"/>
      <w:r w:rsidRPr="00305540">
        <w:rPr>
          <w:rFonts w:ascii="Tahoma" w:hAnsi="Tahoma" w:cs="Tahoma"/>
        </w:rPr>
        <w:t>LGBTI</w:t>
      </w:r>
      <w:proofErr w:type="spellEnd"/>
      <w:r w:rsidRPr="00305540">
        <w:rPr>
          <w:rFonts w:ascii="Tahoma" w:hAnsi="Tahoma" w:cs="Tahoma"/>
        </w:rPr>
        <w:t xml:space="preserve"> attitudes with councils in Namibia. GL has become adept at using local pressure to strengthen regional provisions and vice versa. Councils are ready to take on new challenges around flagship SRHR programmes focusing on youth and key populations.  </w:t>
      </w:r>
    </w:p>
    <w:p w:rsidR="00E67D5A" w:rsidRPr="00305540" w:rsidRDefault="00E67D5A" w:rsidP="00E67D5A">
      <w:pPr>
        <w:spacing w:after="0"/>
        <w:jc w:val="both"/>
        <w:rPr>
          <w:rFonts w:ascii="Tahoma" w:hAnsi="Tahoma" w:cs="Tahoma"/>
        </w:rPr>
      </w:pPr>
    </w:p>
    <w:p w:rsidR="003F2879" w:rsidRDefault="003F2879">
      <w:pPr>
        <w:rPr>
          <w:rFonts w:ascii="Tahoma" w:hAnsi="Tahoma" w:cs="Tahoma"/>
          <w:b/>
        </w:rPr>
      </w:pPr>
      <w:r>
        <w:rPr>
          <w:rFonts w:ascii="Tahoma" w:hAnsi="Tahoma" w:cs="Tahoma"/>
          <w:b/>
        </w:rPr>
        <w:br w:type="page"/>
      </w:r>
    </w:p>
    <w:p w:rsidR="003F2879" w:rsidRPr="00CE4443" w:rsidRDefault="003F2879" w:rsidP="003F2879">
      <w:pPr>
        <w:spacing w:after="0" w:line="240" w:lineRule="auto"/>
        <w:jc w:val="center"/>
        <w:rPr>
          <w:rFonts w:ascii="Tahoma" w:eastAsia="Times New Roman" w:hAnsi="Tahoma" w:cs="Tahoma"/>
          <w:b/>
          <w:lang w:eastAsia="en-GB"/>
        </w:rPr>
      </w:pPr>
      <w:proofErr w:type="gramStart"/>
      <w:r w:rsidRPr="00CE4443">
        <w:rPr>
          <w:rFonts w:ascii="Tahoma" w:eastAsia="Times New Roman" w:hAnsi="Tahoma" w:cs="Tahoma"/>
          <w:b/>
          <w:lang w:eastAsia="en-GB"/>
        </w:rPr>
        <w:lastRenderedPageBreak/>
        <w:t>dots</w:t>
      </w:r>
      <w:proofErr w:type="gramEnd"/>
      <w:r w:rsidRPr="00CE4443">
        <w:rPr>
          <w:rFonts w:ascii="Tahoma" w:eastAsia="Times New Roman" w:hAnsi="Tahoma" w:cs="Tahoma"/>
          <w:b/>
          <w:lang w:eastAsia="en-GB"/>
        </w:rPr>
        <w:t xml:space="preserve"> on SRHR in Southern Africa</w:t>
      </w:r>
    </w:p>
    <w:p w:rsidR="003F2879" w:rsidRPr="00DC67E0" w:rsidRDefault="003F2879" w:rsidP="003F2879">
      <w:pPr>
        <w:spacing w:after="0" w:line="240" w:lineRule="auto"/>
        <w:jc w:val="center"/>
        <w:rPr>
          <w:rFonts w:ascii="Tahoma" w:eastAsia="Times New Roman" w:hAnsi="Tahoma" w:cs="Tahoma"/>
          <w:b/>
          <w:lang w:eastAsia="en-GB"/>
        </w:rPr>
      </w:pPr>
      <w:r w:rsidRPr="00DC67E0">
        <w:rPr>
          <w:rFonts w:ascii="Tahoma" w:eastAsia="Times New Roman" w:hAnsi="Tahoma" w:cs="Tahoma"/>
          <w:b/>
          <w:lang w:eastAsia="en-GB"/>
        </w:rPr>
        <w:t>Gender Links Case Study</w:t>
      </w:r>
    </w:p>
    <w:p w:rsidR="003F2879" w:rsidRPr="00DC67E0" w:rsidRDefault="003F2879" w:rsidP="003F2879">
      <w:pPr>
        <w:spacing w:after="0" w:line="240" w:lineRule="auto"/>
        <w:jc w:val="center"/>
        <w:rPr>
          <w:rFonts w:ascii="Tahoma" w:eastAsia="Times New Roman" w:hAnsi="Tahoma" w:cs="Tahoma"/>
          <w:b/>
          <w:lang w:eastAsia="en-GB"/>
        </w:rPr>
      </w:pPr>
    </w:p>
    <w:p w:rsidR="003F2879" w:rsidRPr="0057256C" w:rsidRDefault="003F2879" w:rsidP="003F2879">
      <w:pPr>
        <w:spacing w:after="0" w:line="240" w:lineRule="auto"/>
        <w:jc w:val="both"/>
        <w:rPr>
          <w:rFonts w:ascii="Tahoma" w:eastAsia="Times New Roman" w:hAnsi="Tahoma" w:cs="Tahoma"/>
          <w:lang w:eastAsia="en-GB"/>
        </w:rPr>
      </w:pPr>
      <w:r w:rsidRPr="00DC67E0">
        <w:rPr>
          <w:rFonts w:ascii="Tahoma" w:eastAsia="Times New Roman" w:hAnsi="Tahoma" w:cs="Tahoma"/>
          <w:noProof/>
          <w:lang w:eastAsia="en-GB"/>
        </w:rPr>
        <mc:AlternateContent>
          <mc:Choice Requires="wps">
            <w:drawing>
              <wp:anchor distT="0" distB="0" distL="114300" distR="114300" simplePos="0" relativeHeight="251680768" behindDoc="0" locked="0" layoutInCell="1" allowOverlap="1" wp14:anchorId="4C81F463" wp14:editId="30895A40">
                <wp:simplePos x="0" y="0"/>
                <wp:positionH relativeFrom="column">
                  <wp:posOffset>-10160</wp:posOffset>
                </wp:positionH>
                <wp:positionV relativeFrom="paragraph">
                  <wp:posOffset>26670</wp:posOffset>
                </wp:positionV>
                <wp:extent cx="3000375" cy="2209800"/>
                <wp:effectExtent l="0" t="0" r="28575" b="19050"/>
                <wp:wrapSquare wrapText="bothSides"/>
                <wp:docPr id="23" name="Text Box 23"/>
                <wp:cNvGraphicFramePr/>
                <a:graphic xmlns:a="http://schemas.openxmlformats.org/drawingml/2006/main">
                  <a:graphicData uri="http://schemas.microsoft.com/office/word/2010/wordprocessingShape">
                    <wps:wsp>
                      <wps:cNvSpPr txBox="1"/>
                      <wps:spPr>
                        <a:xfrm>
                          <a:off x="0" y="0"/>
                          <a:ext cx="3000375" cy="2209800"/>
                        </a:xfrm>
                        <a:prstGeom prst="rect">
                          <a:avLst/>
                        </a:prstGeom>
                        <a:solidFill>
                          <a:sysClr val="window" lastClr="FFFFFF"/>
                        </a:solidFill>
                        <a:ln w="6350">
                          <a:solidFill>
                            <a:prstClr val="black"/>
                          </a:solidFill>
                        </a:ln>
                        <a:effectLst/>
                      </wps:spPr>
                      <wps:txbx>
                        <w:txbxContent>
                          <w:p w:rsidR="003F2879" w:rsidRDefault="003F2879" w:rsidP="003F2879">
                            <w:pPr>
                              <w:keepNext/>
                            </w:pPr>
                            <w:r>
                              <w:rPr>
                                <w:noProof/>
                                <w:lang w:eastAsia="en-GB"/>
                              </w:rPr>
                              <w:drawing>
                                <wp:inline distT="0" distB="0" distL="0" distR="0" wp14:anchorId="313AE7C3" wp14:editId="3BD9F609">
                                  <wp:extent cx="2847975" cy="21363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23).JPG"/>
                                          <pic:cNvPicPr/>
                                        </pic:nvPicPr>
                                        <pic:blipFill>
                                          <a:blip r:embed="rId10" cstate="email">
                                            <a:extLst>
                                              <a:ext uri="{28A0092B-C50C-407E-A947-70E740481C1C}">
                                                <a14:useLocalDpi xmlns:a14="http://schemas.microsoft.com/office/drawing/2010/main"/>
                                              </a:ext>
                                            </a:extLst>
                                          </a:blip>
                                          <a:stretch>
                                            <a:fillRect/>
                                          </a:stretch>
                                        </pic:blipFill>
                                        <pic:spPr>
                                          <a:xfrm>
                                            <a:off x="0" y="0"/>
                                            <a:ext cx="2850085" cy="2137960"/>
                                          </a:xfrm>
                                          <a:prstGeom prst="rect">
                                            <a:avLst/>
                                          </a:prstGeom>
                                        </pic:spPr>
                                      </pic:pic>
                                    </a:graphicData>
                                  </a:graphic>
                                </wp:inline>
                              </w:drawing>
                            </w:r>
                          </w:p>
                          <w:p w:rsidR="003F2879" w:rsidRDefault="003F2879" w:rsidP="003F2879">
                            <w:pPr>
                              <w:pStyle w:val="Caption"/>
                              <w:jc w:val="both"/>
                            </w:pPr>
                            <w:r>
                              <w:t xml:space="preserve">Figure </w:t>
                            </w:r>
                            <w:r>
                              <w:fldChar w:fldCharType="begin"/>
                            </w:r>
                            <w:r>
                              <w:instrText xml:space="preserve"> SEQ Figure \* ARABIC </w:instrText>
                            </w:r>
                            <w:r>
                              <w:fldChar w:fldCharType="separate"/>
                            </w:r>
                            <w:r w:rsidR="00DA080B">
                              <w:rPr>
                                <w:noProof/>
                              </w:rPr>
                              <w:t>2</w:t>
                            </w:r>
                            <w:r>
                              <w:rPr>
                                <w:noProof/>
                              </w:rPr>
                              <w:fldChar w:fldCharType="end"/>
                            </w:r>
                          </w:p>
                          <w:p w:rsidR="003F2879" w:rsidRDefault="003F2879" w:rsidP="003F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left:0;text-align:left;margin-left:-.8pt;margin-top:2.1pt;width:236.25pt;height:1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" fillcolor="window" strokeweight=".5pt">
                <v:textbox>
                  <w:txbxContent>
                    <w:p w:rsidR="003F2879" w:rsidRDefault="003F2879" w:rsidP="003F2879">
                      <w:pPr>
                        <w:keepNext/>
                      </w:pPr>
                      <w:r>
                        <w:rPr>
                          <w:noProof/>
                          <w:lang w:eastAsia="en-GB"/>
                        </w:rPr>
                        <w:drawing>
                          <wp:inline distT="0" distB="0" distL="0" distR="0" wp14:anchorId="313AE7C3" wp14:editId="3BD9F609">
                            <wp:extent cx="2847975" cy="21363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23).JPG"/>
                                    <pic:cNvPicPr/>
                                  </pic:nvPicPr>
                                  <pic:blipFill>
                                    <a:blip r:embed="rId10" cstate="email">
                                      <a:extLst>
                                        <a:ext uri="{28A0092B-C50C-407E-A947-70E740481C1C}">
                                          <a14:useLocalDpi xmlns:a14="http://schemas.microsoft.com/office/drawing/2010/main"/>
                                        </a:ext>
                                      </a:extLst>
                                    </a:blip>
                                    <a:stretch>
                                      <a:fillRect/>
                                    </a:stretch>
                                  </pic:blipFill>
                                  <pic:spPr>
                                    <a:xfrm>
                                      <a:off x="0" y="0"/>
                                      <a:ext cx="2850085" cy="2137960"/>
                                    </a:xfrm>
                                    <a:prstGeom prst="rect">
                                      <a:avLst/>
                                    </a:prstGeom>
                                  </pic:spPr>
                                </pic:pic>
                              </a:graphicData>
                            </a:graphic>
                          </wp:inline>
                        </w:drawing>
                      </w:r>
                    </w:p>
                    <w:p w:rsidR="003F2879" w:rsidRDefault="003F2879" w:rsidP="003F2879">
                      <w:pPr>
                        <w:pStyle w:val="Caption"/>
                        <w:jc w:val="both"/>
                      </w:pPr>
                      <w:r>
                        <w:t xml:space="preserve">Figure </w:t>
                      </w:r>
                      <w:r>
                        <w:fldChar w:fldCharType="begin"/>
                      </w:r>
                      <w:r>
                        <w:instrText xml:space="preserve"> SEQ Figure \* ARABIC </w:instrText>
                      </w:r>
                      <w:r>
                        <w:fldChar w:fldCharType="separate"/>
                      </w:r>
                      <w:r w:rsidR="00DA080B">
                        <w:rPr>
                          <w:noProof/>
                        </w:rPr>
                        <w:t>2</w:t>
                      </w:r>
                      <w:r>
                        <w:rPr>
                          <w:noProof/>
                        </w:rPr>
                        <w:fldChar w:fldCharType="end"/>
                      </w:r>
                    </w:p>
                    <w:p w:rsidR="003F2879" w:rsidRDefault="003F2879" w:rsidP="003F2879"/>
                  </w:txbxContent>
                </v:textbox>
                <w10:wrap type="square"/>
              </v:shape>
            </w:pict>
          </mc:Fallback>
        </mc:AlternateContent>
      </w:r>
      <w:r w:rsidRPr="00DC67E0">
        <w:rPr>
          <w:rFonts w:ascii="Tahoma" w:eastAsia="Times New Roman" w:hAnsi="Tahoma" w:cs="Tahoma"/>
          <w:lang w:eastAsia="en-GB"/>
        </w:rPr>
        <w:t>This case study demonstrates the unique way in which Gender Links</w:t>
      </w:r>
      <w:r>
        <w:rPr>
          <w:rFonts w:ascii="Tahoma" w:eastAsia="Times New Roman" w:hAnsi="Tahoma" w:cs="Tahoma"/>
          <w:lang w:eastAsia="en-GB"/>
        </w:rPr>
        <w:t xml:space="preserve"> (GL)</w:t>
      </w:r>
      <w:r w:rsidRPr="00DC67E0">
        <w:rPr>
          <w:rFonts w:ascii="Tahoma" w:eastAsia="Times New Roman" w:hAnsi="Tahoma" w:cs="Tahoma"/>
          <w:lang w:eastAsia="en-GB"/>
        </w:rPr>
        <w:t xml:space="preserve">, the lead agency in this consortium, is driving the campaign for SRHR from local to regional level through its work with 425 Councils in ten Southern African Development Community (SADC) countries. GL and 40 NGOs in the Southern African Gender Protocol Alliance campaigned for </w:t>
      </w:r>
      <w:r>
        <w:rPr>
          <w:rFonts w:ascii="Tahoma" w:eastAsia="Times New Roman" w:hAnsi="Tahoma" w:cs="Tahoma"/>
          <w:lang w:eastAsia="en-GB"/>
        </w:rPr>
        <w:t xml:space="preserve">the SADC Gender Protocol, a </w:t>
      </w:r>
      <w:r w:rsidRPr="00DC67E0">
        <w:rPr>
          <w:rFonts w:ascii="Tahoma" w:eastAsia="Times New Roman" w:hAnsi="Tahoma" w:cs="Tahoma"/>
          <w:lang w:eastAsia="en-GB"/>
        </w:rPr>
        <w:t xml:space="preserve">unique sub-regional instrument that brings together African and global commitments to gender equality. Working with gender </w:t>
      </w:r>
      <w:r>
        <w:rPr>
          <w:rFonts w:ascii="Tahoma" w:eastAsia="Times New Roman" w:hAnsi="Tahoma" w:cs="Tahoma"/>
          <w:lang w:eastAsia="en-GB"/>
        </w:rPr>
        <w:t>and local government ministries</w:t>
      </w:r>
      <w:r w:rsidRPr="00DC67E0">
        <w:rPr>
          <w:rFonts w:ascii="Tahoma" w:eastAsia="Times New Roman" w:hAnsi="Tahoma" w:cs="Tahoma"/>
          <w:lang w:eastAsia="en-GB"/>
        </w:rPr>
        <w:t xml:space="preserve"> GL cascades these targets to the local level through its Centres of Excellence for Gender in Local Government</w:t>
      </w:r>
      <w:r>
        <w:rPr>
          <w:rFonts w:ascii="Tahoma" w:eastAsia="Times New Roman" w:hAnsi="Tahoma" w:cs="Tahoma"/>
          <w:lang w:eastAsia="en-GB"/>
        </w:rPr>
        <w:t>. Over the last five</w:t>
      </w:r>
      <w:r w:rsidRPr="00DC67E0">
        <w:rPr>
          <w:rFonts w:ascii="Tahoma" w:eastAsia="Times New Roman" w:hAnsi="Tahoma" w:cs="Tahoma"/>
          <w:lang w:eastAsia="en-GB"/>
        </w:rPr>
        <w:t xml:space="preserve"> years, partners have shared over 2000 case studies of the SADC Protocol@Work in 26 </w:t>
      </w:r>
      <w:proofErr w:type="gramStart"/>
      <w:r w:rsidRPr="00DC67E0">
        <w:rPr>
          <w:rFonts w:ascii="Tahoma" w:eastAsia="Times New Roman" w:hAnsi="Tahoma" w:cs="Tahoma"/>
          <w:lang w:eastAsia="en-GB"/>
        </w:rPr>
        <w:t>district</w:t>
      </w:r>
      <w:proofErr w:type="gramEnd"/>
      <w:r w:rsidRPr="00DC67E0">
        <w:rPr>
          <w:rFonts w:ascii="Tahoma" w:eastAsia="Times New Roman" w:hAnsi="Tahoma" w:cs="Tahoma"/>
          <w:lang w:eastAsia="en-GB"/>
        </w:rPr>
        <w:t>, 36 national and eight regional summits.</w:t>
      </w:r>
      <w:r>
        <w:rPr>
          <w:rFonts w:ascii="Tahoma" w:eastAsia="Times New Roman" w:hAnsi="Tahoma" w:cs="Tahoma"/>
          <w:lang w:eastAsia="en-GB"/>
        </w:rPr>
        <w:t xml:space="preserve"> While GL is not directly involved in implementation, the case studies reflect the extent to which gender policies and advocacy create an enabling environment for action on the ground with multiplier effects well beyond what one middle size Women’s Rights Organisation could achieve.  </w:t>
      </w:r>
      <w:r w:rsidRPr="0057256C">
        <w:rPr>
          <w:rFonts w:ascii="Tahoma" w:eastAsia="Times New Roman" w:hAnsi="Tahoma" w:cs="Tahoma"/>
          <w:lang w:eastAsia="en-GB"/>
        </w:rPr>
        <w:t xml:space="preserve">GL’s </w:t>
      </w:r>
      <w:r>
        <w:rPr>
          <w:rFonts w:ascii="Tahoma" w:eastAsia="Times New Roman" w:hAnsi="Tahoma" w:cs="Tahoma"/>
          <w:lang w:eastAsia="en-GB"/>
        </w:rPr>
        <w:t xml:space="preserve">catalytic impact </w:t>
      </w:r>
      <w:r w:rsidRPr="0057256C">
        <w:rPr>
          <w:rFonts w:ascii="Tahoma" w:eastAsia="Times New Roman" w:hAnsi="Tahoma" w:cs="Tahoma"/>
          <w:lang w:eastAsia="en-GB"/>
        </w:rPr>
        <w:t xml:space="preserve">has been </w:t>
      </w:r>
      <w:r>
        <w:rPr>
          <w:rFonts w:ascii="Tahoma" w:eastAsia="Times New Roman" w:hAnsi="Tahoma" w:cs="Tahoma"/>
          <w:lang w:eastAsia="en-GB"/>
        </w:rPr>
        <w:t xml:space="preserve">independently </w:t>
      </w:r>
      <w:r w:rsidRPr="0057256C">
        <w:rPr>
          <w:rFonts w:ascii="Tahoma" w:eastAsia="Times New Roman" w:hAnsi="Tahoma" w:cs="Tahoma"/>
          <w:lang w:eastAsia="en-GB"/>
        </w:rPr>
        <w:t xml:space="preserve">evaluated and commended by Coffey, a London-based development consultancy, as one of twelve case studies </w:t>
      </w:r>
      <w:r>
        <w:rPr>
          <w:rFonts w:ascii="Tahoma" w:eastAsia="Times New Roman" w:hAnsi="Tahoma" w:cs="Tahoma"/>
          <w:lang w:eastAsia="en-GB"/>
        </w:rPr>
        <w:t>in the</w:t>
      </w:r>
      <w:r w:rsidRPr="0057256C">
        <w:rPr>
          <w:rFonts w:ascii="Tahoma" w:eastAsia="Times New Roman" w:hAnsi="Tahoma" w:cs="Tahoma"/>
          <w:lang w:eastAsia="en-GB"/>
        </w:rPr>
        <w:t xml:space="preserve"> DFID Programme Partnership Arrangement</w:t>
      </w:r>
      <w:r>
        <w:rPr>
          <w:rFonts w:ascii="Tahoma" w:eastAsia="Times New Roman" w:hAnsi="Tahoma" w:cs="Tahoma"/>
          <w:lang w:eastAsia="en-GB"/>
        </w:rPr>
        <w:t xml:space="preserve"> (</w:t>
      </w:r>
      <w:proofErr w:type="spellStart"/>
      <w:r>
        <w:rPr>
          <w:rFonts w:ascii="Tahoma" w:eastAsia="Times New Roman" w:hAnsi="Tahoma" w:cs="Tahoma"/>
          <w:lang w:eastAsia="en-GB"/>
        </w:rPr>
        <w:t>PPA</w:t>
      </w:r>
      <w:proofErr w:type="spellEnd"/>
      <w:r>
        <w:rPr>
          <w:rFonts w:ascii="Tahoma" w:eastAsia="Times New Roman" w:hAnsi="Tahoma" w:cs="Tahoma"/>
          <w:lang w:eastAsia="en-GB"/>
        </w:rPr>
        <w:t xml:space="preserve">) in which GL is the only Southern based grantee (see graphic at </w:t>
      </w:r>
      <w:r w:rsidRPr="006E6E53">
        <w:rPr>
          <w:rFonts w:ascii="Tahoma" w:eastAsia="Times New Roman" w:hAnsi="Tahoma" w:cs="Tahoma"/>
          <w:i/>
          <w:lang w:eastAsia="en-GB"/>
        </w:rPr>
        <w:t>Annex 1</w:t>
      </w:r>
      <w:r w:rsidRPr="0057256C">
        <w:rPr>
          <w:rFonts w:ascii="Tahoma" w:eastAsia="Times New Roman" w:hAnsi="Tahoma" w:cs="Tahoma"/>
          <w:lang w:eastAsia="en-GB"/>
        </w:rPr>
        <w:t xml:space="preserve">).  </w:t>
      </w:r>
    </w:p>
    <w:p w:rsidR="003F2879" w:rsidRPr="0057256C" w:rsidRDefault="003F2879" w:rsidP="003F2879">
      <w:pPr>
        <w:spacing w:after="0" w:line="240" w:lineRule="auto"/>
        <w:jc w:val="both"/>
        <w:rPr>
          <w:rFonts w:ascii="Tahoma" w:eastAsia="Times New Roman" w:hAnsi="Tahoma" w:cs="Tahoma"/>
          <w:b/>
          <w:lang w:eastAsia="en-GB"/>
        </w:rPr>
      </w:pPr>
    </w:p>
    <w:p w:rsidR="003F2879" w:rsidRPr="0057256C" w:rsidRDefault="003F2879" w:rsidP="003F2879">
      <w:pPr>
        <w:spacing w:after="0" w:line="240" w:lineRule="auto"/>
        <w:rPr>
          <w:rFonts w:ascii="Tahoma" w:eastAsia="Times New Roman" w:hAnsi="Tahoma" w:cs="Tahoma"/>
          <w:b/>
          <w:lang w:eastAsia="en-GB"/>
        </w:rPr>
      </w:pPr>
      <w:r w:rsidRPr="0057256C">
        <w:rPr>
          <w:rFonts w:ascii="Tahoma" w:eastAsia="Times New Roman" w:hAnsi="Tahoma" w:cs="Tahoma"/>
          <w:noProof/>
          <w:lang w:eastAsia="en-GB"/>
        </w:rPr>
        <w:drawing>
          <wp:anchor distT="0" distB="0" distL="114300" distR="114300" simplePos="0" relativeHeight="251681792" behindDoc="1" locked="0" layoutInCell="1" allowOverlap="1" wp14:anchorId="20580C63" wp14:editId="6CE00236">
            <wp:simplePos x="0" y="0"/>
            <wp:positionH relativeFrom="column">
              <wp:posOffset>-285750</wp:posOffset>
            </wp:positionH>
            <wp:positionV relativeFrom="paragraph">
              <wp:posOffset>115570</wp:posOffset>
            </wp:positionV>
            <wp:extent cx="4533900" cy="3238500"/>
            <wp:effectExtent l="0" t="57150" r="0" b="9525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3F2879" w:rsidRPr="0057256C" w:rsidRDefault="003F2879" w:rsidP="003F2879">
      <w:pPr>
        <w:spacing w:after="0" w:line="240" w:lineRule="auto"/>
        <w:jc w:val="both"/>
        <w:rPr>
          <w:rFonts w:ascii="Tahoma" w:eastAsia="Calibri" w:hAnsi="Tahoma" w:cs="Tahoma"/>
          <w:b/>
          <w:i/>
          <w:sz w:val="24"/>
        </w:rPr>
      </w:pPr>
      <w:r w:rsidRPr="0057256C">
        <w:rPr>
          <w:rFonts w:ascii="Tahoma" w:eastAsia="Times New Roman" w:hAnsi="Tahoma" w:cs="Tahoma"/>
          <w:lang w:eastAsia="en-GB"/>
        </w:rPr>
        <w:t>In 2015, as part of the campaign to update the SADC Gender Protocol in line with the Sustainable Development Goals</w:t>
      </w:r>
      <w:r>
        <w:rPr>
          <w:rFonts w:ascii="Tahoma" w:eastAsia="Times New Roman" w:hAnsi="Tahoma" w:cs="Tahoma"/>
          <w:lang w:eastAsia="en-GB"/>
        </w:rPr>
        <w:t xml:space="preserve"> (SDGs)</w:t>
      </w:r>
      <w:r w:rsidRPr="0057256C">
        <w:rPr>
          <w:rFonts w:ascii="Tahoma" w:eastAsia="Times New Roman" w:hAnsi="Tahoma" w:cs="Tahoma"/>
          <w:lang w:eastAsia="en-GB"/>
        </w:rPr>
        <w:t xml:space="preserve">, the Alliance introduced SRHR as a </w:t>
      </w:r>
      <w:r>
        <w:rPr>
          <w:rFonts w:ascii="Tahoma" w:eastAsia="Times New Roman" w:hAnsi="Tahoma" w:cs="Tahoma"/>
          <w:lang w:eastAsia="en-GB"/>
        </w:rPr>
        <w:t xml:space="preserve">distinct category </w:t>
      </w:r>
      <w:r w:rsidRPr="0057256C">
        <w:rPr>
          <w:rFonts w:ascii="Tahoma" w:eastAsia="Times New Roman" w:hAnsi="Tahoma" w:cs="Tahoma"/>
          <w:lang w:eastAsia="en-GB"/>
        </w:rPr>
        <w:t xml:space="preserve">in the summits. This analysis of the 92 case studies shared </w:t>
      </w:r>
      <w:r>
        <w:rPr>
          <w:rFonts w:ascii="Tahoma" w:eastAsia="Times New Roman" w:hAnsi="Tahoma" w:cs="Tahoma"/>
          <w:lang w:eastAsia="en-GB"/>
        </w:rPr>
        <w:t xml:space="preserve">in this category in 2015 shows </w:t>
      </w:r>
      <w:r w:rsidRPr="0057256C">
        <w:rPr>
          <w:rFonts w:ascii="Tahoma" w:eastAsia="Times New Roman" w:hAnsi="Tahoma" w:cs="Tahoma"/>
          <w:lang w:eastAsia="en-GB"/>
        </w:rPr>
        <w:t xml:space="preserve">how, working through local government, GL is able to introduce sensitive subjects with a high degree of local ownership, as well as amplify these results through lobbying for stronger regional standard-setting. </w:t>
      </w:r>
    </w:p>
    <w:p w:rsidR="003F2879" w:rsidRPr="0057256C" w:rsidRDefault="003F2879" w:rsidP="003F2879">
      <w:pPr>
        <w:spacing w:after="0" w:line="240" w:lineRule="auto"/>
        <w:jc w:val="both"/>
        <w:rPr>
          <w:rFonts w:ascii="Tahoma" w:eastAsia="Calibri" w:hAnsi="Tahoma" w:cs="Tahoma"/>
          <w:b/>
          <w:i/>
          <w:sz w:val="24"/>
        </w:rPr>
      </w:pPr>
    </w:p>
    <w:p w:rsidR="003F2879" w:rsidRPr="0057256C" w:rsidRDefault="003F2879" w:rsidP="003F2879">
      <w:pPr>
        <w:spacing w:after="0" w:line="240" w:lineRule="auto"/>
        <w:jc w:val="both"/>
        <w:rPr>
          <w:rFonts w:ascii="Tahoma" w:eastAsia="Calibri" w:hAnsi="Tahoma" w:cs="Tahoma"/>
          <w:b/>
          <w:i/>
          <w:sz w:val="24"/>
        </w:rPr>
      </w:pPr>
      <w:r w:rsidRPr="0057256C">
        <w:rPr>
          <w:rFonts w:ascii="Tahoma" w:eastAsia="Calibri" w:hAnsi="Tahoma" w:cs="Tahoma"/>
          <w:noProof/>
          <w:lang w:eastAsia="en-GB"/>
        </w:rPr>
        <w:lastRenderedPageBreak/>
        <w:drawing>
          <wp:anchor distT="0" distB="0" distL="114300" distR="114300" simplePos="0" relativeHeight="251682816" behindDoc="0" locked="0" layoutInCell="1" allowOverlap="1" wp14:anchorId="68C1C00F" wp14:editId="6BF1F59C">
            <wp:simplePos x="0" y="0"/>
            <wp:positionH relativeFrom="column">
              <wp:posOffset>66675</wp:posOffset>
            </wp:positionH>
            <wp:positionV relativeFrom="paragraph">
              <wp:posOffset>0</wp:posOffset>
            </wp:positionV>
            <wp:extent cx="5295900" cy="3095625"/>
            <wp:effectExtent l="0" t="0" r="19050" b="9525"/>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3F2879" w:rsidRPr="0057256C"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Default="003F2879" w:rsidP="003F2879">
      <w:pPr>
        <w:spacing w:after="0" w:line="240" w:lineRule="auto"/>
        <w:jc w:val="both"/>
        <w:rPr>
          <w:rFonts w:ascii="Tahoma" w:eastAsia="Calibri" w:hAnsi="Tahoma" w:cs="Tahoma"/>
          <w:b/>
          <w:i/>
          <w:sz w:val="24"/>
        </w:rPr>
      </w:pPr>
    </w:p>
    <w:p w:rsidR="003F2879" w:rsidRPr="0057256C" w:rsidRDefault="003F2879" w:rsidP="003F2879">
      <w:pPr>
        <w:spacing w:after="0" w:line="240" w:lineRule="auto"/>
        <w:jc w:val="both"/>
        <w:rPr>
          <w:rFonts w:ascii="Tahoma" w:eastAsia="Times New Roman" w:hAnsi="Tahoma" w:cs="Tahoma"/>
          <w:lang w:eastAsia="en-GB"/>
        </w:rPr>
      </w:pPr>
      <w:r w:rsidRPr="0057256C">
        <w:rPr>
          <w:rFonts w:ascii="Tahoma" w:eastAsia="Calibri" w:hAnsi="Tahoma" w:cs="Tahoma"/>
          <w:b/>
          <w:i/>
          <w:sz w:val="24"/>
        </w:rPr>
        <w:t xml:space="preserve">Expertise and comparative strength on SRHR and HIV/AIDS in SADC: </w:t>
      </w:r>
      <w:r w:rsidRPr="0057256C">
        <w:rPr>
          <w:rFonts w:ascii="Tahoma" w:eastAsia="Times New Roman" w:hAnsi="Tahoma" w:cs="Tahoma"/>
          <w:lang w:eastAsia="en-GB"/>
        </w:rPr>
        <w:t xml:space="preserve">Over the last nine years, GL has worked with 425 councils, covering 26% of the population of SADC, to develop gender action plans with flagship programmes on SRHR, HIV and AIDS, and GBV as part of the ten stage COE programme. The range of countries that presented case studies on the impact of their work on SRHR in 2015 (see graph) demonstrates GL’s regional reach, including in Lusophone and Francophone speaking countries. </w:t>
      </w:r>
    </w:p>
    <w:p w:rsidR="003F2879" w:rsidRPr="0057256C" w:rsidRDefault="003F2879" w:rsidP="003F2879">
      <w:pPr>
        <w:spacing w:after="0" w:line="240" w:lineRule="auto"/>
        <w:jc w:val="both"/>
        <w:rPr>
          <w:rFonts w:ascii="Tahoma" w:eastAsia="Calibri" w:hAnsi="Tahoma" w:cs="Tahoma"/>
          <w:sz w:val="24"/>
        </w:rPr>
      </w:pPr>
    </w:p>
    <w:p w:rsidR="003F2879" w:rsidRPr="0057256C" w:rsidRDefault="003F2879" w:rsidP="003F2879">
      <w:pPr>
        <w:spacing w:after="0" w:line="240" w:lineRule="auto"/>
        <w:jc w:val="both"/>
        <w:rPr>
          <w:rFonts w:ascii="Tahoma" w:eastAsia="Times New Roman" w:hAnsi="Tahoma" w:cs="Tahoma"/>
          <w:lang w:eastAsia="en-GB"/>
        </w:rPr>
      </w:pPr>
      <w:r w:rsidRPr="0057256C">
        <w:rPr>
          <w:rFonts w:ascii="Tahoma" w:eastAsia="Calibri" w:hAnsi="Tahoma" w:cs="Tahoma"/>
          <w:b/>
          <w:i/>
        </w:rPr>
        <w:t xml:space="preserve">Involving local partners and target groups in preparing, planning and implementing: </w:t>
      </w:r>
      <w:r w:rsidRPr="0057256C">
        <w:rPr>
          <w:rFonts w:ascii="Tahoma" w:eastAsia="Times New Roman" w:hAnsi="Tahoma" w:cs="Tahoma"/>
          <w:lang w:eastAsia="en-GB"/>
        </w:rPr>
        <w:t xml:space="preserve">GL </w:t>
      </w:r>
      <w:r>
        <w:rPr>
          <w:rFonts w:ascii="Tahoma" w:eastAsia="Times New Roman" w:hAnsi="Tahoma" w:cs="Tahoma"/>
          <w:lang w:eastAsia="en-GB"/>
        </w:rPr>
        <w:t xml:space="preserve">country </w:t>
      </w:r>
      <w:proofErr w:type="gramStart"/>
      <w:r>
        <w:rPr>
          <w:rFonts w:ascii="Tahoma" w:eastAsia="Times New Roman" w:hAnsi="Tahoma" w:cs="Tahoma"/>
          <w:lang w:eastAsia="en-GB"/>
        </w:rPr>
        <w:t xml:space="preserve">staff </w:t>
      </w:r>
      <w:r w:rsidRPr="0057256C">
        <w:rPr>
          <w:rFonts w:ascii="Tahoma" w:eastAsia="Times New Roman" w:hAnsi="Tahoma" w:cs="Tahoma"/>
          <w:lang w:eastAsia="en-GB"/>
        </w:rPr>
        <w:t>assist</w:t>
      </w:r>
      <w:proofErr w:type="gramEnd"/>
      <w:r w:rsidRPr="0057256C">
        <w:rPr>
          <w:rFonts w:ascii="Tahoma" w:eastAsia="Times New Roman" w:hAnsi="Tahoma" w:cs="Tahoma"/>
          <w:lang w:eastAsia="en-GB"/>
        </w:rPr>
        <w:t xml:space="preserve"> the councils with capacity building support in developing action plans. The councils then document progress on their different interventions. One of the questions concerns how they involve beneficiaries. Testimonial evidence is a crucial part of the entries. Progress is presented in a case study format that is shared at district summits. Winners go on to national and regional summits. </w:t>
      </w:r>
    </w:p>
    <w:p w:rsidR="003F2879" w:rsidRPr="0057256C" w:rsidRDefault="003F2879" w:rsidP="003F2879">
      <w:pPr>
        <w:spacing w:before="100" w:beforeAutospacing="1" w:after="100" w:afterAutospacing="1" w:line="240" w:lineRule="auto"/>
        <w:jc w:val="both"/>
        <w:rPr>
          <w:rFonts w:ascii="Tahoma" w:eastAsia="Calibri" w:hAnsi="Tahoma" w:cs="Tahoma"/>
        </w:rPr>
      </w:pPr>
      <w:r w:rsidRPr="0057256C">
        <w:rPr>
          <w:rFonts w:ascii="Tahoma" w:eastAsia="Calibri" w:hAnsi="Tahoma" w:cs="Tahoma"/>
          <w:noProof/>
          <w:lang w:eastAsia="en-GB"/>
        </w:rPr>
        <w:drawing>
          <wp:inline distT="0" distB="0" distL="0" distR="0" wp14:anchorId="3C684CAC" wp14:editId="085224A6">
            <wp:extent cx="5314950" cy="20669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F2879" w:rsidRPr="0057256C" w:rsidRDefault="003F2879" w:rsidP="003F2879">
      <w:pPr>
        <w:spacing w:before="100" w:beforeAutospacing="1" w:after="100" w:afterAutospacing="1" w:line="240" w:lineRule="auto"/>
        <w:jc w:val="both"/>
        <w:rPr>
          <w:rFonts w:ascii="Tahoma" w:eastAsia="Calibri" w:hAnsi="Tahoma" w:cs="Tahoma"/>
        </w:rPr>
      </w:pPr>
      <w:r w:rsidRPr="0057256C">
        <w:rPr>
          <w:rFonts w:ascii="Tahoma" w:eastAsia="Calibri" w:hAnsi="Tahoma" w:cs="Tahoma"/>
          <w:b/>
          <w:i/>
        </w:rPr>
        <w:t>Working with national and international networks:</w:t>
      </w:r>
      <w:r w:rsidRPr="0057256C">
        <w:rPr>
          <w:rFonts w:ascii="Tahoma" w:eastAsia="Calibri" w:hAnsi="Tahoma" w:cs="Tahoma"/>
        </w:rPr>
        <w:t xml:space="preserve"> The analysis shows that while local government (27% of the case studies) is t</w:t>
      </w:r>
      <w:r>
        <w:rPr>
          <w:rFonts w:ascii="Tahoma" w:eastAsia="Calibri" w:hAnsi="Tahoma" w:cs="Tahoma"/>
        </w:rPr>
        <w:t>he focus</w:t>
      </w:r>
      <w:r w:rsidRPr="0057256C">
        <w:rPr>
          <w:rFonts w:ascii="Tahoma" w:eastAsia="Calibri" w:hAnsi="Tahoma" w:cs="Tahoma"/>
        </w:rPr>
        <w:t xml:space="preserve"> of the work, the SADC Protocol@Work summits galvanise several other partners: community and faith-based organisations, NGOs and government departments. Alliance focal networks in each country organise the national summit. The </w:t>
      </w:r>
      <w:r>
        <w:rPr>
          <w:rFonts w:ascii="Tahoma" w:eastAsia="Calibri" w:hAnsi="Tahoma" w:cs="Tahoma"/>
        </w:rPr>
        <w:t xml:space="preserve">Alliance </w:t>
      </w:r>
      <w:r w:rsidRPr="0057256C">
        <w:rPr>
          <w:rFonts w:ascii="Tahoma" w:eastAsia="Calibri" w:hAnsi="Tahoma" w:cs="Tahoma"/>
        </w:rPr>
        <w:t xml:space="preserve">regional theme clusters serve as independent judges. </w:t>
      </w:r>
      <w:r>
        <w:rPr>
          <w:rFonts w:ascii="Tahoma" w:eastAsia="Calibri" w:hAnsi="Tahoma" w:cs="Tahoma"/>
        </w:rPr>
        <w:t xml:space="preserve">GL shares its results through SADC, African, Commonwealth and UN networks. </w:t>
      </w:r>
      <w:r w:rsidRPr="0057256C">
        <w:rPr>
          <w:rFonts w:ascii="Tahoma" w:eastAsia="Calibri" w:hAnsi="Tahoma" w:cs="Tahoma"/>
        </w:rPr>
        <w:t xml:space="preserve"> </w:t>
      </w:r>
    </w:p>
    <w:p w:rsidR="003F2879" w:rsidRPr="0057256C" w:rsidRDefault="003F2879" w:rsidP="003F2879">
      <w:pPr>
        <w:spacing w:after="0" w:line="240" w:lineRule="auto"/>
        <w:jc w:val="both"/>
        <w:rPr>
          <w:rFonts w:ascii="Tahoma" w:eastAsia="Calibri" w:hAnsi="Tahoma" w:cs="Tahoma"/>
        </w:rPr>
      </w:pPr>
    </w:p>
    <w:p w:rsidR="003F2879" w:rsidRDefault="003F2879" w:rsidP="003F2879">
      <w:pPr>
        <w:jc w:val="both"/>
        <w:rPr>
          <w:rFonts w:ascii="Tahoma" w:eastAsia="Calibri" w:hAnsi="Tahoma" w:cs="Tahoma"/>
        </w:rPr>
      </w:pPr>
      <w:r>
        <w:rPr>
          <w:noProof/>
          <w:lang w:eastAsia="en-GB"/>
        </w:rPr>
        <w:drawing>
          <wp:anchor distT="0" distB="0" distL="114300" distR="114300" simplePos="0" relativeHeight="251685888" behindDoc="0" locked="0" layoutInCell="1" allowOverlap="1" wp14:anchorId="5254B6B1" wp14:editId="16F17B98">
            <wp:simplePos x="0" y="0"/>
            <wp:positionH relativeFrom="column">
              <wp:posOffset>0</wp:posOffset>
            </wp:positionH>
            <wp:positionV relativeFrom="paragraph">
              <wp:posOffset>287655</wp:posOffset>
            </wp:positionV>
            <wp:extent cx="3752850" cy="1933575"/>
            <wp:effectExtent l="0" t="0" r="19050" b="952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57256C">
        <w:rPr>
          <w:rFonts w:ascii="Tahoma" w:eastAsia="Calibri" w:hAnsi="Tahoma" w:cs="Tahoma"/>
          <w:b/>
          <w:i/>
        </w:rPr>
        <w:t xml:space="preserve">Covering all three target groups in the </w:t>
      </w:r>
      <w:proofErr w:type="spellStart"/>
      <w:r w:rsidRPr="0057256C">
        <w:rPr>
          <w:rFonts w:ascii="Tahoma" w:eastAsia="Calibri" w:hAnsi="Tahoma" w:cs="Tahoma"/>
          <w:b/>
          <w:i/>
        </w:rPr>
        <w:t>RNE</w:t>
      </w:r>
      <w:proofErr w:type="spellEnd"/>
      <w:r w:rsidRPr="0057256C">
        <w:rPr>
          <w:rFonts w:ascii="Tahoma" w:eastAsia="Calibri" w:hAnsi="Tahoma" w:cs="Tahoma"/>
          <w:b/>
          <w:i/>
        </w:rPr>
        <w:t xml:space="preserve"> call:</w:t>
      </w:r>
      <w:r w:rsidRPr="0057256C">
        <w:rPr>
          <w:rFonts w:ascii="Tahoma" w:eastAsia="Calibri" w:hAnsi="Tahoma" w:cs="Tahoma"/>
        </w:rPr>
        <w:t xml:space="preserve"> </w:t>
      </w:r>
      <w:r>
        <w:rPr>
          <w:rFonts w:ascii="Tahoma" w:eastAsia="Calibri" w:hAnsi="Tahoma" w:cs="Tahoma"/>
        </w:rPr>
        <w:t>T</w:t>
      </w:r>
      <w:r w:rsidRPr="0057256C">
        <w:rPr>
          <w:rFonts w:ascii="Tahoma" w:eastAsia="Calibri" w:hAnsi="Tahoma" w:cs="Tahoma"/>
        </w:rPr>
        <w:t>he analysis show</w:t>
      </w:r>
      <w:r>
        <w:rPr>
          <w:rFonts w:ascii="Tahoma" w:eastAsia="Calibri" w:hAnsi="Tahoma" w:cs="Tahoma"/>
        </w:rPr>
        <w:t>s</w:t>
      </w:r>
      <w:r w:rsidRPr="0057256C">
        <w:rPr>
          <w:rFonts w:ascii="Tahoma" w:eastAsia="Calibri" w:hAnsi="Tahoma" w:cs="Tahoma"/>
        </w:rPr>
        <w:t xml:space="preserve"> that while the majority of the SADC Protocol@Work case studies concerned women and men in general, they also focused on youth (26%),</w:t>
      </w:r>
      <w:r>
        <w:rPr>
          <w:rFonts w:ascii="Tahoma" w:eastAsia="Calibri" w:hAnsi="Tahoma" w:cs="Tahoma"/>
        </w:rPr>
        <w:t xml:space="preserve">and </w:t>
      </w:r>
      <w:r w:rsidRPr="0057256C">
        <w:rPr>
          <w:rFonts w:ascii="Tahoma" w:eastAsia="Calibri" w:hAnsi="Tahoma" w:cs="Tahoma"/>
        </w:rPr>
        <w:t>key populations (</w:t>
      </w:r>
      <w:r>
        <w:rPr>
          <w:rFonts w:ascii="Tahoma" w:eastAsia="Calibri" w:hAnsi="Tahoma" w:cs="Tahoma"/>
        </w:rPr>
        <w:t xml:space="preserve">12% of the case studies concerned </w:t>
      </w:r>
      <w:r w:rsidRPr="0057256C">
        <w:rPr>
          <w:rFonts w:ascii="Tahoma" w:eastAsia="Calibri" w:hAnsi="Tahoma" w:cs="Tahoma"/>
        </w:rPr>
        <w:t xml:space="preserve">sex workers, injecting drug users, </w:t>
      </w:r>
      <w:proofErr w:type="spellStart"/>
      <w:r w:rsidRPr="0057256C">
        <w:rPr>
          <w:rFonts w:ascii="Tahoma" w:eastAsia="Calibri" w:hAnsi="Tahoma" w:cs="Tahoma"/>
        </w:rPr>
        <w:t>LGBTI</w:t>
      </w:r>
      <w:proofErr w:type="spellEnd"/>
      <w:r w:rsidRPr="0057256C">
        <w:rPr>
          <w:rFonts w:ascii="Tahoma" w:eastAsia="Calibri" w:hAnsi="Tahoma" w:cs="Tahoma"/>
        </w:rPr>
        <w:t xml:space="preserve"> persons, persons with disabilities and prisoners</w:t>
      </w:r>
      <w:r>
        <w:rPr>
          <w:rFonts w:ascii="Tahoma" w:eastAsia="Calibri" w:hAnsi="Tahoma" w:cs="Tahoma"/>
        </w:rPr>
        <w:t>).</w:t>
      </w:r>
      <w:r w:rsidRPr="0057256C">
        <w:rPr>
          <w:rFonts w:ascii="Tahoma" w:eastAsia="Calibri" w:hAnsi="Tahoma" w:cs="Tahoma"/>
        </w:rPr>
        <w:t xml:space="preserve"> </w:t>
      </w:r>
    </w:p>
    <w:p w:rsidR="003F2879" w:rsidRPr="00C01F5F" w:rsidRDefault="003F2879" w:rsidP="003F2879">
      <w:pPr>
        <w:jc w:val="both"/>
        <w:rPr>
          <w:rFonts w:ascii="Tahoma" w:eastAsia="Calibri" w:hAnsi="Tahoma" w:cs="Tahoma"/>
          <w:lang w:val="en-US"/>
        </w:rPr>
      </w:pPr>
      <w:r>
        <w:rPr>
          <w:noProof/>
          <w:lang w:eastAsia="en-GB"/>
        </w:rPr>
        <w:drawing>
          <wp:anchor distT="0" distB="0" distL="114300" distR="114300" simplePos="0" relativeHeight="251686912" behindDoc="0" locked="0" layoutInCell="1" allowOverlap="1" wp14:anchorId="491F4126" wp14:editId="4F131ADB">
            <wp:simplePos x="0" y="0"/>
            <wp:positionH relativeFrom="column">
              <wp:posOffset>3119755</wp:posOffset>
            </wp:positionH>
            <wp:positionV relativeFrom="paragraph">
              <wp:posOffset>17780</wp:posOffset>
            </wp:positionV>
            <wp:extent cx="2839720" cy="1895475"/>
            <wp:effectExtent l="0" t="0" r="0" b="9525"/>
            <wp:wrapSquare wrapText="bothSides"/>
            <wp:docPr id="30" name="IFid2" descr="Media Workshop_16Days_SB_30112015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d2" descr="Media Workshop_16Days_SB_30112015 (11)"/>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3972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5F">
        <w:rPr>
          <w:rFonts w:ascii="Tahoma" w:eastAsia="Calibri" w:hAnsi="Tahoma" w:cs="Tahoma"/>
        </w:rPr>
        <w:t xml:space="preserve">In Mauritius, for example, </w:t>
      </w:r>
      <w:r>
        <w:rPr>
          <w:rFonts w:ascii="Tahoma" w:eastAsia="Calibri" w:hAnsi="Tahoma" w:cs="Tahoma"/>
          <w:lang w:val="en-US"/>
        </w:rPr>
        <w:t>t</w:t>
      </w:r>
      <w:r w:rsidRPr="00C01F5F">
        <w:rPr>
          <w:rFonts w:ascii="Tahoma" w:eastAsia="Calibri" w:hAnsi="Tahoma" w:cs="Tahoma"/>
          <w:lang w:val="en-US"/>
        </w:rPr>
        <w:t xml:space="preserve">he </w:t>
      </w:r>
      <w:r>
        <w:rPr>
          <w:rFonts w:ascii="Tahoma" w:eastAsia="Calibri" w:hAnsi="Tahoma" w:cs="Tahoma"/>
          <w:lang w:val="en-US"/>
        </w:rPr>
        <w:t xml:space="preserve">Young Queer Alliance (depicted in the adjacent photo) presented its work with </w:t>
      </w:r>
      <w:r w:rsidRPr="00C01F5F">
        <w:rPr>
          <w:rFonts w:ascii="Tahoma" w:eastAsia="Calibri" w:hAnsi="Tahoma" w:cs="Tahoma"/>
          <w:lang w:val="en-US"/>
        </w:rPr>
        <w:t>15 – 29 year</w:t>
      </w:r>
      <w:r>
        <w:rPr>
          <w:rFonts w:ascii="Tahoma" w:eastAsia="Calibri" w:hAnsi="Tahoma" w:cs="Tahoma"/>
          <w:lang w:val="en-US"/>
        </w:rPr>
        <w:t xml:space="preserve"> olds on </w:t>
      </w:r>
      <w:r w:rsidRPr="00C01F5F">
        <w:rPr>
          <w:rFonts w:ascii="Tahoma" w:eastAsia="Calibri" w:hAnsi="Tahoma" w:cs="Tahoma"/>
          <w:lang w:val="en-US"/>
        </w:rPr>
        <w:t xml:space="preserve">actions </w:t>
      </w:r>
      <w:r>
        <w:rPr>
          <w:rFonts w:ascii="Tahoma" w:eastAsia="Calibri" w:hAnsi="Tahoma" w:cs="Tahoma"/>
          <w:lang w:val="en-US"/>
        </w:rPr>
        <w:t>to de-</w:t>
      </w:r>
      <w:proofErr w:type="spellStart"/>
      <w:r>
        <w:rPr>
          <w:rFonts w:ascii="Tahoma" w:eastAsia="Calibri" w:hAnsi="Tahoma" w:cs="Tahoma"/>
          <w:lang w:val="en-US"/>
        </w:rPr>
        <w:t>stigmatise</w:t>
      </w:r>
      <w:proofErr w:type="spellEnd"/>
      <w:r>
        <w:rPr>
          <w:rFonts w:ascii="Tahoma" w:eastAsia="Calibri" w:hAnsi="Tahoma" w:cs="Tahoma"/>
          <w:lang w:val="en-US"/>
        </w:rPr>
        <w:t xml:space="preserve"> </w:t>
      </w:r>
      <w:proofErr w:type="spellStart"/>
      <w:r>
        <w:rPr>
          <w:rFonts w:ascii="Tahoma" w:eastAsia="Calibri" w:hAnsi="Tahoma" w:cs="Tahoma"/>
          <w:lang w:val="en-US"/>
        </w:rPr>
        <w:t>LGBTI</w:t>
      </w:r>
      <w:proofErr w:type="spellEnd"/>
      <w:r>
        <w:rPr>
          <w:rFonts w:ascii="Tahoma" w:eastAsia="Calibri" w:hAnsi="Tahoma" w:cs="Tahoma"/>
          <w:lang w:val="en-US"/>
        </w:rPr>
        <w:t>, create support networks, and lobby for enabling legislation. One case study concerned councils working with truck drivers on HIV and AIDS.</w:t>
      </w:r>
    </w:p>
    <w:p w:rsidR="003F2879" w:rsidRPr="0057256C" w:rsidRDefault="003F2879" w:rsidP="003F2879">
      <w:pPr>
        <w:spacing w:after="0" w:line="240" w:lineRule="auto"/>
        <w:jc w:val="both"/>
        <w:rPr>
          <w:rFonts w:ascii="Tahoma" w:eastAsia="Calibri" w:hAnsi="Tahoma" w:cs="Tahoma"/>
          <w:lang w:eastAsia="en-ZA"/>
        </w:rPr>
      </w:pPr>
      <w:r w:rsidRPr="0057256C">
        <w:rPr>
          <w:rFonts w:ascii="Tahoma" w:eastAsia="Calibri" w:hAnsi="Tahoma" w:cs="Tahoma"/>
          <w:b/>
          <w:i/>
        </w:rPr>
        <w:t>Men as partners:</w:t>
      </w:r>
      <w:r>
        <w:rPr>
          <w:rFonts w:ascii="Tahoma" w:eastAsia="Calibri" w:hAnsi="Tahoma" w:cs="Tahoma"/>
        </w:rPr>
        <w:t xml:space="preserve"> 27</w:t>
      </w:r>
      <w:r w:rsidRPr="0057256C">
        <w:rPr>
          <w:rFonts w:ascii="Tahoma" w:eastAsia="Calibri" w:hAnsi="Tahoma" w:cs="Tahoma"/>
        </w:rPr>
        <w:t xml:space="preserve">% of the case studies focused on men as partners. For example, </w:t>
      </w:r>
      <w:r>
        <w:rPr>
          <w:rFonts w:ascii="Tahoma" w:eastAsia="Calibri" w:hAnsi="Tahoma" w:cs="Tahoma"/>
        </w:rPr>
        <w:t xml:space="preserve">case studies from </w:t>
      </w:r>
      <w:r w:rsidRPr="0057256C">
        <w:rPr>
          <w:rFonts w:ascii="Tahoma" w:eastAsia="Calibri" w:hAnsi="Tahoma" w:cs="Tahoma"/>
        </w:rPr>
        <w:t xml:space="preserve">Swaziland and South Africa </w:t>
      </w:r>
      <w:r>
        <w:rPr>
          <w:rFonts w:ascii="Tahoma" w:eastAsia="Calibri" w:hAnsi="Tahoma" w:cs="Tahoma"/>
        </w:rPr>
        <w:t xml:space="preserve">showed how </w:t>
      </w:r>
      <w:r w:rsidRPr="0057256C">
        <w:rPr>
          <w:rFonts w:ascii="Tahoma" w:eastAsia="Calibri" w:hAnsi="Tahoma" w:cs="Tahoma"/>
        </w:rPr>
        <w:t xml:space="preserve">men are coming together to demystify some of the </w:t>
      </w:r>
      <w:r>
        <w:rPr>
          <w:rFonts w:ascii="Tahoma" w:eastAsia="Calibri" w:hAnsi="Tahoma" w:cs="Tahoma"/>
        </w:rPr>
        <w:t>attributes, behaviours and myths</w:t>
      </w:r>
      <w:r w:rsidRPr="0057256C">
        <w:rPr>
          <w:rFonts w:ascii="Tahoma" w:eastAsia="Calibri" w:hAnsi="Tahoma" w:cs="Tahoma"/>
        </w:rPr>
        <w:t xml:space="preserve"> around masculinity. </w:t>
      </w:r>
      <w:r w:rsidRPr="0057256C">
        <w:rPr>
          <w:rFonts w:ascii="Tahoma" w:eastAsia="Calibri" w:hAnsi="Tahoma" w:cs="Tahoma"/>
          <w:lang w:eastAsia="en-ZA"/>
        </w:rPr>
        <w:t xml:space="preserve">Through dialogues and workshops men and boys work as partners with women to end violence and fight against the </w:t>
      </w:r>
      <w:r>
        <w:rPr>
          <w:rFonts w:ascii="Tahoma" w:eastAsia="Calibri" w:hAnsi="Tahoma" w:cs="Tahoma"/>
          <w:lang w:eastAsia="en-ZA"/>
        </w:rPr>
        <w:t xml:space="preserve">twin scourges of GBV, </w:t>
      </w:r>
      <w:r w:rsidRPr="0057256C">
        <w:rPr>
          <w:rFonts w:ascii="Tahoma" w:eastAsia="Calibri" w:hAnsi="Tahoma" w:cs="Tahoma"/>
          <w:lang w:eastAsia="en-ZA"/>
        </w:rPr>
        <w:t>HIV and AIDS</w:t>
      </w:r>
      <w:r>
        <w:rPr>
          <w:rFonts w:ascii="Tahoma" w:eastAsia="Calibri" w:hAnsi="Tahoma" w:cs="Tahoma"/>
          <w:lang w:eastAsia="en-ZA"/>
        </w:rPr>
        <w:t>.</w:t>
      </w:r>
      <w:r w:rsidRPr="0057256C">
        <w:rPr>
          <w:rFonts w:ascii="Tahoma" w:eastAsia="Calibri" w:hAnsi="Tahoma" w:cs="Tahoma"/>
          <w:lang w:eastAsia="en-ZA"/>
        </w:rPr>
        <w:t xml:space="preserve"> </w:t>
      </w:r>
    </w:p>
    <w:p w:rsidR="003F2879" w:rsidRPr="0057256C" w:rsidRDefault="003F2879" w:rsidP="003F2879">
      <w:pPr>
        <w:spacing w:after="0" w:line="240" w:lineRule="auto"/>
        <w:jc w:val="both"/>
        <w:rPr>
          <w:rFonts w:ascii="Tahoma" w:eastAsia="Calibri" w:hAnsi="Tahoma" w:cs="Tahoma"/>
        </w:rPr>
      </w:pPr>
    </w:p>
    <w:p w:rsidR="003F2879" w:rsidRPr="0057256C" w:rsidRDefault="003F2879" w:rsidP="003F2879">
      <w:pPr>
        <w:spacing w:after="0" w:line="240" w:lineRule="auto"/>
        <w:jc w:val="both"/>
        <w:rPr>
          <w:rFonts w:ascii="Tahoma" w:eastAsia="Calibri" w:hAnsi="Tahoma" w:cs="Tahoma"/>
          <w:b/>
        </w:rPr>
      </w:pPr>
      <w:r w:rsidRPr="0057256C">
        <w:rPr>
          <w:rFonts w:ascii="Tahoma" w:eastAsia="Calibri" w:hAnsi="Tahoma" w:cs="Tahoma"/>
          <w:b/>
        </w:rPr>
        <w:t xml:space="preserve">Results and effectiveness </w:t>
      </w:r>
    </w:p>
    <w:p w:rsidR="003F2879" w:rsidRPr="0057256C" w:rsidRDefault="003F2879" w:rsidP="003F2879">
      <w:pPr>
        <w:spacing w:after="0" w:line="240" w:lineRule="auto"/>
        <w:jc w:val="both"/>
        <w:rPr>
          <w:rFonts w:ascii="Tahoma" w:eastAsia="Calibri" w:hAnsi="Tahoma" w:cs="Tahoma"/>
          <w:b/>
        </w:rPr>
      </w:pPr>
    </w:p>
    <w:p w:rsidR="003F2879" w:rsidRPr="0057256C" w:rsidRDefault="003F2879" w:rsidP="003F2879">
      <w:pPr>
        <w:spacing w:after="0" w:line="240" w:lineRule="auto"/>
        <w:jc w:val="both"/>
        <w:rPr>
          <w:rFonts w:ascii="Tahoma" w:eastAsia="Calibri" w:hAnsi="Tahoma" w:cs="Tahoma"/>
          <w:b/>
        </w:rPr>
      </w:pPr>
      <w:r w:rsidRPr="0057256C">
        <w:rPr>
          <w:rFonts w:ascii="Tahoma" w:eastAsia="Calibri" w:hAnsi="Tahoma" w:cs="Tahoma"/>
          <w:noProof/>
          <w:lang w:eastAsia="en-GB"/>
        </w:rPr>
        <w:drawing>
          <wp:inline distT="0" distB="0" distL="0" distR="0" wp14:anchorId="2AFA2B69" wp14:editId="5A602B8B">
            <wp:extent cx="5381625" cy="265747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F2879" w:rsidRDefault="003F2879" w:rsidP="003F2879">
      <w:pPr>
        <w:rPr>
          <w:rFonts w:ascii="Tahoma" w:eastAsia="Calibri" w:hAnsi="Tahoma" w:cs="Tahoma"/>
          <w:b/>
          <w:i/>
        </w:rPr>
      </w:pPr>
      <w:r>
        <w:rPr>
          <w:rFonts w:ascii="Tahoma" w:eastAsia="Calibri" w:hAnsi="Tahoma" w:cs="Tahoma"/>
          <w:b/>
          <w:i/>
        </w:rPr>
        <w:br w:type="page"/>
      </w:r>
    </w:p>
    <w:p w:rsidR="003F2879" w:rsidRPr="0057256C" w:rsidRDefault="003F2879" w:rsidP="003F2879">
      <w:pPr>
        <w:spacing w:after="0" w:line="240" w:lineRule="auto"/>
        <w:jc w:val="both"/>
        <w:rPr>
          <w:rFonts w:ascii="Tahoma" w:eastAsia="Calibri" w:hAnsi="Tahoma" w:cs="Tahoma"/>
          <w:b/>
          <w:i/>
        </w:rPr>
      </w:pPr>
      <w:r w:rsidRPr="008860EE">
        <w:rPr>
          <w:noProof/>
          <w:lang w:eastAsia="en-GB"/>
        </w:rPr>
        <w:lastRenderedPageBreak/>
        <w:drawing>
          <wp:anchor distT="0" distB="0" distL="114300" distR="114300" simplePos="0" relativeHeight="251687936" behindDoc="0" locked="0" layoutInCell="1" allowOverlap="1" wp14:anchorId="36734984" wp14:editId="7FD81482">
            <wp:simplePos x="0" y="0"/>
            <wp:positionH relativeFrom="column">
              <wp:posOffset>4542790</wp:posOffset>
            </wp:positionH>
            <wp:positionV relativeFrom="paragraph">
              <wp:posOffset>-26035</wp:posOffset>
            </wp:positionV>
            <wp:extent cx="1209675" cy="1205865"/>
            <wp:effectExtent l="0" t="0" r="9525" b="0"/>
            <wp:wrapSquare wrapText="bothSides"/>
            <wp:docPr id="32" name="Picture 32" descr="C:\Users\Sifiso Dube\AppData\Local\Microsoft\Windows\Temporary Internet Files\Content.Outlook\93RAKCOI\SADC BARO    2030 LOGOrgb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fiso Dube\AppData\Local\Microsoft\Windows\Temporary Internet Files\Content.Outlook\93RAKCOI\SADC BARO    2030 LOGOrgb (00000002).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120967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b/>
          <w:i/>
        </w:rPr>
        <w:t xml:space="preserve">SADC Protocol targets at work: </w:t>
      </w:r>
      <w:r w:rsidRPr="00B54676">
        <w:rPr>
          <w:rFonts w:ascii="Tahoma" w:eastAsia="Calibri" w:hAnsi="Tahoma" w:cs="Tahoma"/>
        </w:rPr>
        <w:t xml:space="preserve">15 of the existing 28 targets of the SADC Gender Protocol relate to SRHR. The graph shows how these are being put to work on the ground, with integrated approaches to ending GBV, universal access to HIV and </w:t>
      </w:r>
      <w:proofErr w:type="spellStart"/>
      <w:r w:rsidRPr="00B54676">
        <w:rPr>
          <w:rFonts w:ascii="Tahoma" w:eastAsia="Calibri" w:hAnsi="Tahoma" w:cs="Tahoma"/>
        </w:rPr>
        <w:t>AIDs</w:t>
      </w:r>
      <w:proofErr w:type="spellEnd"/>
      <w:r w:rsidRPr="00B54676">
        <w:rPr>
          <w:rFonts w:ascii="Tahoma" w:eastAsia="Calibri" w:hAnsi="Tahoma" w:cs="Tahoma"/>
        </w:rPr>
        <w:t xml:space="preserve"> treatment, </w:t>
      </w:r>
      <w:proofErr w:type="spellStart"/>
      <w:r w:rsidRPr="00B54676">
        <w:rPr>
          <w:rFonts w:ascii="Tahoma" w:eastAsia="Calibri" w:hAnsi="Tahoma" w:cs="Tahoma"/>
        </w:rPr>
        <w:t>SRH</w:t>
      </w:r>
      <w:proofErr w:type="spellEnd"/>
      <w:r w:rsidRPr="00B54676">
        <w:rPr>
          <w:rFonts w:ascii="Tahoma" w:eastAsia="Calibri" w:hAnsi="Tahoma" w:cs="Tahoma"/>
        </w:rPr>
        <w:t xml:space="preserve"> needs of women and men being the most referenced. </w:t>
      </w:r>
    </w:p>
    <w:p w:rsidR="003F2879" w:rsidRPr="00B54676" w:rsidRDefault="003F2879" w:rsidP="003F2879">
      <w:pPr>
        <w:spacing w:after="0" w:line="240" w:lineRule="auto"/>
        <w:jc w:val="both"/>
        <w:rPr>
          <w:rFonts w:ascii="Tahoma" w:eastAsia="Calibri" w:hAnsi="Tahoma" w:cs="Tahoma"/>
          <w:b/>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noProof/>
          <w:lang w:eastAsia="en-GB"/>
        </w:rPr>
        <w:drawing>
          <wp:inline distT="0" distB="0" distL="0" distR="0" wp14:anchorId="1F97AAFA" wp14:editId="1886F3F1">
            <wp:extent cx="4829175" cy="233362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b/>
          <w:i/>
          <w:noProof/>
          <w:lang w:eastAsia="en-GB"/>
        </w:rPr>
        <mc:AlternateContent>
          <mc:Choice Requires="wps">
            <w:drawing>
              <wp:anchor distT="0" distB="0" distL="114300" distR="114300" simplePos="0" relativeHeight="251684864" behindDoc="0" locked="0" layoutInCell="1" allowOverlap="1" wp14:anchorId="0C492418" wp14:editId="6CFA6164">
                <wp:simplePos x="0" y="0"/>
                <wp:positionH relativeFrom="column">
                  <wp:posOffset>4257675</wp:posOffset>
                </wp:positionH>
                <wp:positionV relativeFrom="paragraph">
                  <wp:posOffset>502920</wp:posOffset>
                </wp:positionV>
                <wp:extent cx="2152650" cy="3009900"/>
                <wp:effectExtent l="0" t="0" r="19050" b="19050"/>
                <wp:wrapSquare wrapText="bothSides"/>
                <wp:docPr id="24" name="Text Box 24"/>
                <wp:cNvGraphicFramePr/>
                <a:graphic xmlns:a="http://schemas.openxmlformats.org/drawingml/2006/main">
                  <a:graphicData uri="http://schemas.microsoft.com/office/word/2010/wordprocessingShape">
                    <wps:wsp>
                      <wps:cNvSpPr txBox="1"/>
                      <wps:spPr>
                        <a:xfrm>
                          <a:off x="0" y="0"/>
                          <a:ext cx="2152650" cy="3009900"/>
                        </a:xfrm>
                        <a:prstGeom prst="rect">
                          <a:avLst/>
                        </a:prstGeom>
                        <a:solidFill>
                          <a:sysClr val="window" lastClr="FFFFFF"/>
                        </a:solidFill>
                        <a:ln w="6350">
                          <a:solidFill>
                            <a:prstClr val="black"/>
                          </a:solidFill>
                        </a:ln>
                        <a:effectLst/>
                      </wps:spPr>
                      <wps:txbx>
                        <w:txbxContent>
                          <w:p w:rsidR="003F2879" w:rsidRDefault="003F2879" w:rsidP="003F2879">
                            <w:r>
                              <w:rPr>
                                <w:noProof/>
                                <w:lang w:eastAsia="en-GB"/>
                              </w:rPr>
                              <w:drawing>
                                <wp:inline distT="0" distB="0" distL="0" distR="0" wp14:anchorId="7F09FFA4" wp14:editId="3DA12B51">
                                  <wp:extent cx="1981200" cy="264185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52).JPG"/>
                                          <pic:cNvPicPr/>
                                        </pic:nvPicPr>
                                        <pic:blipFill>
                                          <a:blip r:embed="rId26" cstate="emai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982938" cy="2644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335.25pt;margin-top:39.6pt;width:169.5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" fillcolor="window" strokeweight=".5pt">
                <v:textbox>
                  <w:txbxContent>
                    <w:p w:rsidR="003F2879" w:rsidRDefault="003F2879" w:rsidP="003F2879">
                      <w:r>
                        <w:rPr>
                          <w:noProof/>
                          <w:lang w:eastAsia="en-GB"/>
                        </w:rPr>
                        <w:drawing>
                          <wp:inline distT="0" distB="0" distL="0" distR="0" wp14:anchorId="7F09FFA4" wp14:editId="3DA12B51">
                            <wp:extent cx="1981200" cy="264185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teen Days 2015OrangeFarm_clm_122015 (52).JPG"/>
                                    <pic:cNvPicPr/>
                                  </pic:nvPicPr>
                                  <pic:blipFill>
                                    <a:blip r:embed="rId26" cstate="emai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982938" cy="2644175"/>
                                    </a:xfrm>
                                    <a:prstGeom prst="rect">
                                      <a:avLst/>
                                    </a:prstGeom>
                                  </pic:spPr>
                                </pic:pic>
                              </a:graphicData>
                            </a:graphic>
                          </wp:inline>
                        </w:drawing>
                      </w:r>
                    </w:p>
                  </w:txbxContent>
                </v:textbox>
                <w10:wrap type="square"/>
              </v:shape>
            </w:pict>
          </mc:Fallback>
        </mc:AlternateContent>
      </w:r>
      <w:r w:rsidRPr="00B54676">
        <w:rPr>
          <w:rFonts w:ascii="Tahoma" w:eastAsia="Calibri" w:hAnsi="Tahoma" w:cs="Tahoma"/>
          <w:b/>
          <w:i/>
        </w:rPr>
        <w:t>Promoting rights:</w:t>
      </w:r>
      <w:r w:rsidRPr="00B54676">
        <w:rPr>
          <w:rFonts w:ascii="Tahoma" w:eastAsia="Calibri" w:hAnsi="Tahoma" w:cs="Tahoma"/>
        </w:rPr>
        <w:t xml:space="preserve"> The analysis shows that the case studies have a strong rights-based focus (freedom from violence; </w:t>
      </w:r>
      <w:proofErr w:type="spellStart"/>
      <w:r w:rsidRPr="00B54676">
        <w:rPr>
          <w:rFonts w:ascii="Tahoma" w:eastAsia="Calibri" w:hAnsi="Tahoma" w:cs="Tahoma"/>
        </w:rPr>
        <w:t>SRR</w:t>
      </w:r>
      <w:proofErr w:type="spellEnd"/>
      <w:r w:rsidRPr="00B54676">
        <w:rPr>
          <w:rFonts w:ascii="Tahoma" w:eastAsia="Calibri" w:hAnsi="Tahoma" w:cs="Tahoma"/>
        </w:rPr>
        <w:t>). Some of the more sensitive areas (sexual pleasure, abortion, and sexual freedom) are not as prominent; however the fact that they are featuring on local agendas is a positive sign.</w:t>
      </w: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noProof/>
          <w:lang w:eastAsia="en-GB"/>
        </w:rPr>
        <w:drawing>
          <wp:inline distT="0" distB="0" distL="0" distR="0" wp14:anchorId="5C772DC4" wp14:editId="63239C61">
            <wp:extent cx="3796631" cy="236127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9555" cy="2369314"/>
                    </a:xfrm>
                    <a:prstGeom prst="rect">
                      <a:avLst/>
                    </a:prstGeom>
                    <a:noFill/>
                  </pic:spPr>
                </pic:pic>
              </a:graphicData>
            </a:graphic>
          </wp:inline>
        </w:drawing>
      </w: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b/>
          <w:i/>
        </w:rPr>
        <w:t>In a proactive way:</w:t>
      </w:r>
      <w:r w:rsidRPr="00B54676">
        <w:rPr>
          <w:rFonts w:ascii="Tahoma" w:eastAsia="Calibri" w:hAnsi="Tahoma" w:cs="Tahoma"/>
          <w:b/>
        </w:rPr>
        <w:t xml:space="preserve"> </w:t>
      </w:r>
      <w:r w:rsidRPr="00B54676">
        <w:rPr>
          <w:rFonts w:ascii="Tahoma" w:eastAsia="Calibri" w:hAnsi="Tahoma" w:cs="Tahoma"/>
        </w:rPr>
        <w:t>The largest proportion of interventions concerns support (36%) and prevention (33%) of GBV, and HIV and AIDS.  It is encouraging to see that these proactive and preventive approaches feature more prominently than the reactive ones (response, care and treatment).</w:t>
      </w:r>
      <w:r>
        <w:rPr>
          <w:rFonts w:ascii="Tahoma" w:eastAsia="Calibri" w:hAnsi="Tahoma" w:cs="Tahoma"/>
        </w:rPr>
        <w:t xml:space="preserve"> This is an important paradigm shift in the region, and one that opens space for more rights-based approaches. </w:t>
      </w: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p>
    <w:p w:rsidR="003F2879" w:rsidRPr="00B54676" w:rsidRDefault="003F2879" w:rsidP="003F2879">
      <w:pPr>
        <w:spacing w:after="0" w:line="240" w:lineRule="auto"/>
        <w:jc w:val="both"/>
        <w:rPr>
          <w:rFonts w:ascii="Tahoma" w:eastAsia="Calibri" w:hAnsi="Tahoma" w:cs="Tahoma"/>
        </w:rPr>
      </w:pPr>
      <w:r w:rsidRPr="00B54676">
        <w:rPr>
          <w:rFonts w:ascii="Tahoma" w:eastAsia="Calibri" w:hAnsi="Tahoma" w:cs="Tahoma"/>
          <w:noProof/>
          <w:lang w:eastAsia="en-GB"/>
        </w:rPr>
        <w:lastRenderedPageBreak/>
        <w:drawing>
          <wp:inline distT="0" distB="0" distL="0" distR="0" wp14:anchorId="68332FD2" wp14:editId="0EBE6B6D">
            <wp:extent cx="5229225" cy="2181225"/>
            <wp:effectExtent l="0" t="0" r="952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F2879" w:rsidRPr="00B54676" w:rsidRDefault="003F2879" w:rsidP="003F2879">
      <w:pPr>
        <w:spacing w:after="0" w:line="240" w:lineRule="auto"/>
        <w:jc w:val="both"/>
        <w:rPr>
          <w:rFonts w:ascii="Tahoma" w:eastAsia="Calibri" w:hAnsi="Tahoma" w:cs="Tahoma"/>
        </w:rPr>
      </w:pPr>
    </w:p>
    <w:p w:rsidR="003F2879" w:rsidRDefault="003F2879" w:rsidP="003F2879">
      <w:pPr>
        <w:spacing w:after="0" w:line="240" w:lineRule="auto"/>
        <w:jc w:val="both"/>
        <w:rPr>
          <w:rFonts w:ascii="Tahoma" w:eastAsia="Calibri" w:hAnsi="Tahoma" w:cs="Tahoma"/>
        </w:rPr>
      </w:pPr>
      <w:r w:rsidRPr="00B54676">
        <w:rPr>
          <w:rFonts w:ascii="Tahoma" w:eastAsia="Calibri" w:hAnsi="Tahoma" w:cs="Tahoma"/>
          <w:b/>
          <w:i/>
        </w:rPr>
        <w:t>Changing attitudes and behaviour:</w:t>
      </w:r>
      <w:r w:rsidRPr="00B54676">
        <w:rPr>
          <w:rFonts w:ascii="Tahoma" w:eastAsia="Calibri" w:hAnsi="Tahoma" w:cs="Tahoma"/>
        </w:rPr>
        <w:t xml:space="preserve"> The most </w:t>
      </w:r>
      <w:r>
        <w:rPr>
          <w:rFonts w:ascii="Tahoma" w:eastAsia="Calibri" w:hAnsi="Tahoma" w:cs="Tahoma"/>
        </w:rPr>
        <w:t xml:space="preserve">reported </w:t>
      </w:r>
      <w:r w:rsidRPr="00B54676">
        <w:rPr>
          <w:rFonts w:ascii="Tahoma" w:eastAsia="Calibri" w:hAnsi="Tahoma" w:cs="Tahoma"/>
        </w:rPr>
        <w:t xml:space="preserve">change </w:t>
      </w:r>
      <w:r>
        <w:rPr>
          <w:rFonts w:ascii="Tahoma" w:eastAsia="Calibri" w:hAnsi="Tahoma" w:cs="Tahoma"/>
        </w:rPr>
        <w:t xml:space="preserve">in case studies analysed concerned greater </w:t>
      </w:r>
      <w:r w:rsidRPr="00B54676">
        <w:rPr>
          <w:rFonts w:ascii="Tahoma" w:eastAsia="Calibri" w:hAnsi="Tahoma" w:cs="Tahoma"/>
        </w:rPr>
        <w:t>public awareness</w:t>
      </w:r>
      <w:r>
        <w:rPr>
          <w:rFonts w:ascii="Tahoma" w:eastAsia="Calibri" w:hAnsi="Tahoma" w:cs="Tahoma"/>
        </w:rPr>
        <w:t xml:space="preserve"> (18%),</w:t>
      </w:r>
      <w:r w:rsidRPr="00B54676">
        <w:rPr>
          <w:rFonts w:ascii="Tahoma" w:eastAsia="Calibri" w:hAnsi="Tahoma" w:cs="Tahoma"/>
        </w:rPr>
        <w:t xml:space="preserve"> </w:t>
      </w:r>
      <w:r>
        <w:rPr>
          <w:rFonts w:ascii="Tahoma" w:eastAsia="Calibri" w:hAnsi="Tahoma" w:cs="Tahoma"/>
        </w:rPr>
        <w:t xml:space="preserve">followed by </w:t>
      </w:r>
      <w:r w:rsidRPr="00B54676">
        <w:rPr>
          <w:rFonts w:ascii="Tahoma" w:eastAsia="Calibri" w:hAnsi="Tahoma" w:cs="Tahoma"/>
        </w:rPr>
        <w:t>behaviour change</w:t>
      </w:r>
      <w:r>
        <w:rPr>
          <w:rFonts w:ascii="Tahoma" w:eastAsia="Calibri" w:hAnsi="Tahoma" w:cs="Tahoma"/>
        </w:rPr>
        <w:t xml:space="preserve"> (17%); reduced stigma (12%) and improved services (8%). The summary below of a case study from </w:t>
      </w:r>
      <w:r w:rsidRPr="006473B9">
        <w:rPr>
          <w:rFonts w:ascii="Tahoma" w:eastAsia="Calibri" w:hAnsi="Tahoma" w:cs="Tahoma"/>
          <w:b/>
        </w:rPr>
        <w:t>Madagascar</w:t>
      </w:r>
      <w:r>
        <w:rPr>
          <w:rFonts w:ascii="Tahoma" w:eastAsia="Calibri" w:hAnsi="Tahoma" w:cs="Tahoma"/>
        </w:rPr>
        <w:t xml:space="preserve"> shows how this is achieved: </w:t>
      </w:r>
    </w:p>
    <w:p w:rsidR="003F2879" w:rsidRPr="00B54676" w:rsidRDefault="003F2879" w:rsidP="003F2879">
      <w:pPr>
        <w:spacing w:after="0" w:line="240" w:lineRule="auto"/>
        <w:jc w:val="both"/>
        <w:rPr>
          <w:rFonts w:ascii="Tahoma" w:eastAsia="Calibri" w:hAnsi="Tahoma" w:cs="Tahoma"/>
        </w:rPr>
      </w:pPr>
    </w:p>
    <w:p w:rsidR="003F2879" w:rsidRPr="00F836E9" w:rsidRDefault="003F2879" w:rsidP="003F2879">
      <w:pPr>
        <w:shd w:val="clear" w:color="auto" w:fill="F2F2F2" w:themeFill="background1" w:themeFillShade="F2"/>
        <w:jc w:val="both"/>
        <w:rPr>
          <w:rFonts w:ascii="Tahoma" w:eastAsia="MS Mincho" w:hAnsi="Tahoma" w:cs="Tahoma"/>
        </w:rPr>
      </w:pPr>
      <w:r>
        <w:rPr>
          <w:rFonts w:ascii="Tahoma" w:eastAsia="MS Mincho" w:hAnsi="Tahoma" w:cs="Tahoma"/>
        </w:rPr>
        <w:t xml:space="preserve">In 2012 the gender committee of the </w:t>
      </w:r>
      <w:r w:rsidRPr="00F836E9">
        <w:rPr>
          <w:rFonts w:ascii="Tahoma" w:eastAsia="MS Mincho" w:hAnsi="Tahoma" w:cs="Tahoma"/>
        </w:rPr>
        <w:t xml:space="preserve">rural council of </w:t>
      </w:r>
      <w:proofErr w:type="spellStart"/>
      <w:r w:rsidRPr="00F836E9">
        <w:rPr>
          <w:rFonts w:ascii="Tahoma" w:eastAsia="MS Mincho" w:hAnsi="Tahoma" w:cs="Tahoma"/>
          <w:b/>
        </w:rPr>
        <w:t>Tsiafahy</w:t>
      </w:r>
      <w:proofErr w:type="spellEnd"/>
      <w:r>
        <w:rPr>
          <w:rFonts w:ascii="Tahoma" w:eastAsia="MS Mincho" w:hAnsi="Tahoma" w:cs="Tahoma"/>
          <w:b/>
        </w:rPr>
        <w:t xml:space="preserve">, </w:t>
      </w:r>
      <w:r>
        <w:rPr>
          <w:rFonts w:ascii="Tahoma" w:eastAsia="MS Mincho" w:hAnsi="Tahoma" w:cs="Tahoma"/>
        </w:rPr>
        <w:t>a GL COE,</w:t>
      </w:r>
      <w:r w:rsidRPr="006473B9">
        <w:rPr>
          <w:rFonts w:ascii="Tahoma" w:eastAsia="MS Mincho" w:hAnsi="Tahoma" w:cs="Tahoma"/>
          <w:b/>
        </w:rPr>
        <w:t xml:space="preserve"> </w:t>
      </w:r>
      <w:r>
        <w:rPr>
          <w:rFonts w:ascii="Tahoma" w:eastAsia="MS Mincho" w:hAnsi="Tahoma" w:cs="Tahoma"/>
        </w:rPr>
        <w:t xml:space="preserve">created an </w:t>
      </w:r>
      <w:r w:rsidRPr="00F836E9">
        <w:rPr>
          <w:rFonts w:ascii="Tahoma" w:eastAsia="MS Mincho" w:hAnsi="Tahoma" w:cs="Tahoma"/>
        </w:rPr>
        <w:t xml:space="preserve">association </w:t>
      </w:r>
      <w:r>
        <w:rPr>
          <w:rFonts w:ascii="Tahoma" w:eastAsia="MS Mincho" w:hAnsi="Tahoma" w:cs="Tahoma"/>
        </w:rPr>
        <w:t>called Amis</w:t>
      </w:r>
      <w:r w:rsidRPr="00F836E9">
        <w:rPr>
          <w:rFonts w:ascii="Tahoma" w:eastAsia="MS Mincho" w:hAnsi="Tahoma" w:cs="Tahoma"/>
        </w:rPr>
        <w:t xml:space="preserve"> (</w:t>
      </w:r>
      <w:r w:rsidRPr="00F836E9">
        <w:rPr>
          <w:rFonts w:ascii="Tahoma" w:eastAsia="MS Mincho" w:hAnsi="Tahoma" w:cs="Tahoma"/>
          <w:i/>
        </w:rPr>
        <w:t>friend</w:t>
      </w:r>
      <w:r w:rsidRPr="00F836E9">
        <w:rPr>
          <w:rFonts w:ascii="Tahoma" w:eastAsia="MS Mincho" w:hAnsi="Tahoma" w:cs="Tahoma"/>
        </w:rPr>
        <w:t xml:space="preserve">) </w:t>
      </w:r>
      <w:r>
        <w:rPr>
          <w:rFonts w:ascii="Tahoma" w:eastAsia="MS Mincho" w:hAnsi="Tahoma" w:cs="Tahoma"/>
        </w:rPr>
        <w:t xml:space="preserve">focusing </w:t>
      </w:r>
      <w:r w:rsidRPr="00F836E9">
        <w:rPr>
          <w:rFonts w:ascii="Tahoma" w:eastAsia="MS Mincho" w:hAnsi="Tahoma" w:cs="Tahoma"/>
        </w:rPr>
        <w:t>on education, informati</w:t>
      </w:r>
      <w:r>
        <w:rPr>
          <w:rFonts w:ascii="Tahoma" w:eastAsia="MS Mincho" w:hAnsi="Tahoma" w:cs="Tahoma"/>
        </w:rPr>
        <w:t>on and sensitis</w:t>
      </w:r>
      <w:r w:rsidRPr="00F836E9">
        <w:rPr>
          <w:rFonts w:ascii="Tahoma" w:eastAsia="MS Mincho" w:hAnsi="Tahoma" w:cs="Tahoma"/>
        </w:rPr>
        <w:t xml:space="preserve">ation of young people on gender, gender violence, sexual and reproductive health. Led by an active young teacher, </w:t>
      </w:r>
      <w:r>
        <w:rPr>
          <w:rFonts w:ascii="Tahoma" w:eastAsia="MS Mincho" w:hAnsi="Tahoma" w:cs="Tahoma"/>
        </w:rPr>
        <w:t>w</w:t>
      </w:r>
      <w:r w:rsidRPr="00F836E9">
        <w:rPr>
          <w:rFonts w:ascii="Tahoma" w:eastAsia="MS Mincho" w:hAnsi="Tahoma" w:cs="Tahoma"/>
        </w:rPr>
        <w:t xml:space="preserve">ith the support of local health centres, they visited the 15 hamlets of the council to </w:t>
      </w:r>
      <w:r>
        <w:rPr>
          <w:rFonts w:ascii="Tahoma" w:eastAsia="MS Mincho" w:hAnsi="Tahoma" w:cs="Tahoma"/>
        </w:rPr>
        <w:t xml:space="preserve">offer </w:t>
      </w:r>
      <w:r w:rsidRPr="00F836E9">
        <w:rPr>
          <w:rFonts w:ascii="Tahoma" w:eastAsia="MS Mincho" w:hAnsi="Tahoma" w:cs="Tahoma"/>
        </w:rPr>
        <w:t xml:space="preserve">free HIV testing and medical consultation. </w:t>
      </w:r>
      <w:r>
        <w:rPr>
          <w:rFonts w:ascii="Tahoma" w:eastAsia="MS Mincho" w:hAnsi="Tahoma" w:cs="Tahoma"/>
        </w:rPr>
        <w:t>This led to spirited campaigns during the Sixteen Days of Activism on SRHR; periodic sensitis</w:t>
      </w:r>
      <w:r w:rsidRPr="00F836E9">
        <w:rPr>
          <w:rFonts w:ascii="Tahoma" w:eastAsia="MS Mincho" w:hAnsi="Tahoma" w:cs="Tahoma"/>
        </w:rPr>
        <w:t>ation campaigns in schools</w:t>
      </w:r>
      <w:r>
        <w:rPr>
          <w:rFonts w:ascii="Tahoma" w:eastAsia="MS Mincho" w:hAnsi="Tahoma" w:cs="Tahoma"/>
        </w:rPr>
        <w:t>.</w:t>
      </w:r>
      <w:r w:rsidRPr="00F836E9">
        <w:rPr>
          <w:rFonts w:ascii="Tahoma" w:eastAsia="MS Mincho" w:hAnsi="Tahoma" w:cs="Tahoma"/>
        </w:rPr>
        <w:t xml:space="preserve"> </w:t>
      </w:r>
      <w:r>
        <w:rPr>
          <w:rFonts w:ascii="Tahoma" w:eastAsia="MS Mincho" w:hAnsi="Tahoma" w:cs="Tahoma"/>
        </w:rPr>
        <w:t>I</w:t>
      </w:r>
      <w:r w:rsidRPr="00F836E9">
        <w:rPr>
          <w:rFonts w:ascii="Tahoma" w:eastAsia="MS Mincho" w:hAnsi="Tahoma" w:cs="Tahoma"/>
        </w:rPr>
        <w:t xml:space="preserve">n 2014, the association </w:t>
      </w:r>
      <w:r>
        <w:rPr>
          <w:rFonts w:ascii="Tahoma" w:eastAsia="MS Mincho" w:hAnsi="Tahoma" w:cs="Tahoma"/>
        </w:rPr>
        <w:t xml:space="preserve">teamed up with </w:t>
      </w:r>
      <w:r w:rsidRPr="00F836E9">
        <w:rPr>
          <w:rFonts w:ascii="Tahoma" w:eastAsia="MS Mincho" w:hAnsi="Tahoma" w:cs="Tahoma"/>
        </w:rPr>
        <w:t xml:space="preserve">the Ministry of Health and UN agencies </w:t>
      </w:r>
      <w:r>
        <w:rPr>
          <w:rFonts w:ascii="Tahoma" w:eastAsia="MS Mincho" w:hAnsi="Tahoma" w:cs="Tahoma"/>
        </w:rPr>
        <w:t xml:space="preserve">to launch </w:t>
      </w:r>
      <w:r w:rsidRPr="00F836E9">
        <w:rPr>
          <w:rFonts w:ascii="Tahoma" w:eastAsia="MS Mincho" w:hAnsi="Tahoma" w:cs="Tahoma"/>
        </w:rPr>
        <w:t>“</w:t>
      </w:r>
      <w:proofErr w:type="spellStart"/>
      <w:r w:rsidRPr="00F836E9">
        <w:rPr>
          <w:rFonts w:ascii="Tahoma" w:eastAsia="MS Mincho" w:hAnsi="Tahoma" w:cs="Tahoma"/>
        </w:rPr>
        <w:t>Allo</w:t>
      </w:r>
      <w:proofErr w:type="spellEnd"/>
      <w:r w:rsidRPr="00F836E9">
        <w:rPr>
          <w:rFonts w:ascii="Tahoma" w:eastAsia="MS Mincho" w:hAnsi="Tahoma" w:cs="Tahoma"/>
        </w:rPr>
        <w:t xml:space="preserve"> </w:t>
      </w:r>
      <w:proofErr w:type="spellStart"/>
      <w:r w:rsidRPr="00F836E9">
        <w:rPr>
          <w:rFonts w:ascii="Tahoma" w:eastAsia="MS Mincho" w:hAnsi="Tahoma" w:cs="Tahoma"/>
        </w:rPr>
        <w:t>Fanantenana</w:t>
      </w:r>
      <w:proofErr w:type="spellEnd"/>
      <w:r w:rsidRPr="00F836E9">
        <w:rPr>
          <w:rFonts w:ascii="Tahoma" w:eastAsia="MS Mincho" w:hAnsi="Tahoma" w:cs="Tahoma"/>
        </w:rPr>
        <w:t xml:space="preserve">”, free phoning, in which young </w:t>
      </w:r>
      <w:r>
        <w:rPr>
          <w:rFonts w:ascii="Tahoma" w:eastAsia="MS Mincho" w:hAnsi="Tahoma" w:cs="Tahoma"/>
        </w:rPr>
        <w:t>people can get free counselling and</w:t>
      </w:r>
      <w:r w:rsidRPr="00F836E9">
        <w:rPr>
          <w:rFonts w:ascii="Tahoma" w:eastAsia="MS Mincho" w:hAnsi="Tahoma" w:cs="Tahoma"/>
        </w:rPr>
        <w:t xml:space="preserve"> information that it is free, </w:t>
      </w:r>
      <w:r>
        <w:rPr>
          <w:rFonts w:ascii="Tahoma" w:eastAsia="MS Mincho" w:hAnsi="Tahoma" w:cs="Tahoma"/>
        </w:rPr>
        <w:t>easy to access and confidential, often provided by peers.</w:t>
      </w:r>
      <w:r w:rsidRPr="00F836E9">
        <w:rPr>
          <w:rFonts w:ascii="Tahoma" w:eastAsia="MS Mincho" w:hAnsi="Tahoma" w:cs="Tahoma"/>
        </w:rPr>
        <w:t xml:space="preserve"> </w:t>
      </w:r>
      <w:r>
        <w:rPr>
          <w:rFonts w:ascii="Tahoma" w:eastAsia="MS Mincho" w:hAnsi="Tahoma" w:cs="Tahoma"/>
        </w:rPr>
        <w:t xml:space="preserve">The youth have created </w:t>
      </w:r>
      <w:r w:rsidRPr="00F836E9">
        <w:rPr>
          <w:rFonts w:ascii="Tahoma" w:eastAsia="MS Mincho" w:hAnsi="Tahoma" w:cs="Tahoma"/>
        </w:rPr>
        <w:t>radio drama</w:t>
      </w:r>
      <w:r>
        <w:rPr>
          <w:rFonts w:ascii="Tahoma" w:eastAsia="MS Mincho" w:hAnsi="Tahoma" w:cs="Tahoma"/>
        </w:rPr>
        <w:t>s conveying</w:t>
      </w:r>
      <w:r w:rsidRPr="00F836E9">
        <w:rPr>
          <w:rFonts w:ascii="Tahoma" w:eastAsia="MS Mincho" w:hAnsi="Tahoma" w:cs="Tahoma"/>
        </w:rPr>
        <w:t xml:space="preserve"> messages </w:t>
      </w:r>
      <w:r>
        <w:rPr>
          <w:rFonts w:ascii="Tahoma" w:eastAsia="MS Mincho" w:hAnsi="Tahoma" w:cs="Tahoma"/>
        </w:rPr>
        <w:t xml:space="preserve">on </w:t>
      </w:r>
      <w:r w:rsidRPr="00F836E9">
        <w:rPr>
          <w:rFonts w:ascii="Tahoma" w:eastAsia="MS Mincho" w:hAnsi="Tahoma" w:cs="Tahoma"/>
        </w:rPr>
        <w:t xml:space="preserve">gender </w:t>
      </w:r>
      <w:r>
        <w:rPr>
          <w:rFonts w:ascii="Tahoma" w:eastAsia="MS Mincho" w:hAnsi="Tahoma" w:cs="Tahoma"/>
          <w:noProof/>
          <w:lang w:eastAsia="en-GB"/>
        </w:rPr>
        <w:drawing>
          <wp:anchor distT="0" distB="0" distL="114300" distR="114300" simplePos="0" relativeHeight="251688960" behindDoc="0" locked="0" layoutInCell="1" allowOverlap="1" wp14:anchorId="3A2BE9CC" wp14:editId="41B50F9A">
            <wp:simplePos x="0" y="0"/>
            <wp:positionH relativeFrom="column">
              <wp:posOffset>3771900</wp:posOffset>
            </wp:positionH>
            <wp:positionV relativeFrom="paragraph">
              <wp:posOffset>1747520</wp:posOffset>
            </wp:positionV>
            <wp:extent cx="1955165" cy="1543050"/>
            <wp:effectExtent l="0" t="0" r="6985" b="0"/>
            <wp:wrapSquare wrapText="bothSides"/>
            <wp:docPr id="36" name="Picture 36" descr="C:\Users\Colleen\Music\Pictures\Case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Music\Pictures\Case stud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516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6E9">
        <w:rPr>
          <w:rFonts w:ascii="Tahoma" w:eastAsia="MS Mincho" w:hAnsi="Tahoma" w:cs="Tahoma"/>
        </w:rPr>
        <w:t>equality gender violence</w:t>
      </w:r>
      <w:r>
        <w:rPr>
          <w:rFonts w:ascii="Tahoma" w:eastAsia="MS Mincho" w:hAnsi="Tahoma" w:cs="Tahoma"/>
        </w:rPr>
        <w:t xml:space="preserve">, SRHR breaking the </w:t>
      </w:r>
      <w:r w:rsidRPr="00F836E9">
        <w:rPr>
          <w:rFonts w:ascii="Tahoma" w:eastAsia="MS Mincho" w:hAnsi="Tahoma" w:cs="Tahoma"/>
        </w:rPr>
        <w:t>taboo</w:t>
      </w:r>
      <w:r>
        <w:rPr>
          <w:rFonts w:ascii="Tahoma" w:eastAsia="MS Mincho" w:hAnsi="Tahoma" w:cs="Tahoma"/>
        </w:rPr>
        <w:t>s on these topics</w:t>
      </w:r>
      <w:r w:rsidRPr="00F836E9">
        <w:rPr>
          <w:rFonts w:ascii="Tahoma" w:eastAsia="MS Mincho" w:hAnsi="Tahoma" w:cs="Tahoma"/>
        </w:rPr>
        <w:t xml:space="preserve"> in </w:t>
      </w:r>
      <w:r>
        <w:rPr>
          <w:rFonts w:ascii="Tahoma" w:eastAsia="MS Mincho" w:hAnsi="Tahoma" w:cs="Tahoma"/>
        </w:rPr>
        <w:t>the community.</w:t>
      </w:r>
      <w:r w:rsidRPr="00F836E9">
        <w:rPr>
          <w:rFonts w:ascii="Tahoma" w:eastAsia="MS Mincho" w:hAnsi="Tahoma" w:cs="Tahoma"/>
        </w:rPr>
        <w:t xml:space="preserve"> Thanks to the association’s activities, the council included strategies for young people in the develop</w:t>
      </w:r>
      <w:r>
        <w:rPr>
          <w:rFonts w:ascii="Tahoma" w:eastAsia="MS Mincho" w:hAnsi="Tahoma" w:cs="Tahoma"/>
        </w:rPr>
        <w:t xml:space="preserve">ment action plan of the council, which won the runner up award for Madagascar in the SRHR category in the 2015 SADC </w:t>
      </w:r>
      <w:proofErr w:type="spellStart"/>
      <w:r>
        <w:rPr>
          <w:rFonts w:ascii="Tahoma" w:eastAsia="MS Mincho" w:hAnsi="Tahoma" w:cs="Tahoma"/>
        </w:rPr>
        <w:t>Protcol@Work</w:t>
      </w:r>
      <w:proofErr w:type="spellEnd"/>
      <w:r>
        <w:rPr>
          <w:rFonts w:ascii="Tahoma" w:eastAsia="MS Mincho" w:hAnsi="Tahoma" w:cs="Tahoma"/>
        </w:rPr>
        <w:t xml:space="preserve"> summit in Madagascar, where the mayor received the award.    </w:t>
      </w:r>
      <w:r w:rsidRPr="00F836E9">
        <w:rPr>
          <w:rFonts w:ascii="Tahoma" w:eastAsia="MS Mincho" w:hAnsi="Tahoma" w:cs="Tahoma"/>
        </w:rPr>
        <w:t xml:space="preserve"> </w:t>
      </w:r>
    </w:p>
    <w:p w:rsidR="003F2879" w:rsidRPr="00B54676" w:rsidRDefault="003F2879" w:rsidP="003F2879">
      <w:pPr>
        <w:jc w:val="both"/>
        <w:rPr>
          <w:rFonts w:ascii="Tahoma" w:eastAsia="Calibri" w:hAnsi="Tahoma" w:cs="Tahoma"/>
        </w:rPr>
      </w:pPr>
      <w:r>
        <w:rPr>
          <w:rFonts w:ascii="Tahoma" w:eastAsia="Calibri" w:hAnsi="Tahoma" w:cs="Tahoma"/>
          <w:b/>
          <w:i/>
        </w:rPr>
        <w:t>Laws, policies and regulations:</w:t>
      </w:r>
      <w:r w:rsidRPr="00B54676">
        <w:rPr>
          <w:rFonts w:ascii="Tahoma" w:eastAsia="Calibri" w:hAnsi="Tahoma" w:cs="Tahoma"/>
          <w:b/>
          <w:i/>
        </w:rPr>
        <w:t xml:space="preserve"> </w:t>
      </w:r>
      <w:r>
        <w:rPr>
          <w:rFonts w:ascii="Tahoma" w:eastAsia="Calibri" w:hAnsi="Tahoma" w:cs="Tahoma"/>
        </w:rPr>
        <w:t xml:space="preserve">Seven percent of the case studies concerned changes in laws, policies and regulations on SRHR. Six SADC countries now have SRHR laws. The Alliance is campaigning for SRHR policies in the other nine - </w:t>
      </w:r>
    </w:p>
    <w:p w:rsidR="003F2879" w:rsidRPr="00B54676" w:rsidRDefault="003F2879" w:rsidP="003F2879">
      <w:pPr>
        <w:spacing w:after="0" w:line="240" w:lineRule="auto"/>
        <w:jc w:val="both"/>
        <w:rPr>
          <w:rFonts w:ascii="Tahoma" w:eastAsia="Calibri" w:hAnsi="Tahoma" w:cs="Tahoma"/>
          <w:i/>
        </w:rPr>
      </w:pPr>
      <w:r w:rsidRPr="00B54676">
        <w:rPr>
          <w:rFonts w:ascii="Calibri" w:eastAsia="Calibri" w:hAnsi="Calibri" w:cs="Tahoma"/>
          <w:noProof/>
          <w:sz w:val="24"/>
          <w:lang w:eastAsia="en-GB"/>
        </w:rPr>
        <w:drawing>
          <wp:anchor distT="0" distB="0" distL="114300" distR="114300" simplePos="0" relativeHeight="251683840" behindDoc="0" locked="0" layoutInCell="1" allowOverlap="1" wp14:anchorId="5A244E47" wp14:editId="3DDBD0A3">
            <wp:simplePos x="0" y="0"/>
            <wp:positionH relativeFrom="column">
              <wp:posOffset>4219575</wp:posOffset>
            </wp:positionH>
            <wp:positionV relativeFrom="paragraph">
              <wp:posOffset>73025</wp:posOffset>
            </wp:positionV>
            <wp:extent cx="1683385" cy="1952625"/>
            <wp:effectExtent l="0" t="0" r="0" b="9525"/>
            <wp:wrapSquare wrapText="bothSides"/>
            <wp:docPr id="37" name="Picture 37" descr="http://preditor.genderlinks.org.za/assets/pages/images/02539_resized_10647_thumbnail_baro2015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ditor.genderlinks.org.za/assets/pages/images/02539_resized_10647_thumbnail_baro2015cov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338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676">
        <w:rPr>
          <w:rFonts w:ascii="Tahoma" w:eastAsia="Calibri" w:hAnsi="Tahoma" w:cs="Tahoma"/>
          <w:b/>
          <w:i/>
        </w:rPr>
        <w:t>Innovation</w:t>
      </w:r>
      <w:r>
        <w:rPr>
          <w:rFonts w:ascii="Tahoma" w:eastAsia="Calibri" w:hAnsi="Tahoma" w:cs="Tahoma"/>
          <w:b/>
          <w:i/>
        </w:rPr>
        <w:t xml:space="preserve">: changing regional and global SRHR standards from the bottom up: </w:t>
      </w:r>
      <w:r>
        <w:rPr>
          <w:rFonts w:ascii="Tahoma" w:eastAsia="Calibri" w:hAnsi="Tahoma" w:cs="Tahoma"/>
        </w:rPr>
        <w:t xml:space="preserve">GL used the 2015 case studies to make the case in the 2015 Barometer for stronger language on SRHR in the post 2015 SADC Gender Protocol and through the Women’s Major Group, in the SDGs. The draft post 2015 Protocol, to be adopted by Heads of State in August 2015, has a specific section on SRHR, and adopts SDG, Beijing Plus Twenty and </w:t>
      </w:r>
      <w:proofErr w:type="spellStart"/>
      <w:r>
        <w:rPr>
          <w:rFonts w:ascii="Tahoma" w:eastAsia="Calibri" w:hAnsi="Tahoma" w:cs="Tahoma"/>
        </w:rPr>
        <w:t>IPDC</w:t>
      </w:r>
      <w:proofErr w:type="spellEnd"/>
      <w:r>
        <w:rPr>
          <w:rFonts w:ascii="Tahoma" w:eastAsia="Calibri" w:hAnsi="Tahoma" w:cs="Tahoma"/>
        </w:rPr>
        <w:t xml:space="preserve"> standards for its Post 2015 Monitoring, Evaluation and Results Framework.   </w:t>
      </w:r>
      <w:r w:rsidRPr="00B54676">
        <w:rPr>
          <w:rFonts w:ascii="Tahoma" w:eastAsia="Calibri" w:hAnsi="Tahoma" w:cs="Tahoma"/>
          <w:b/>
          <w:i/>
        </w:rPr>
        <w:t xml:space="preserve"> </w:t>
      </w:r>
    </w:p>
    <w:p w:rsidR="003F2879" w:rsidRPr="00B54676" w:rsidRDefault="003F2879" w:rsidP="003F2879">
      <w:pPr>
        <w:spacing w:after="0" w:line="240" w:lineRule="auto"/>
        <w:jc w:val="both"/>
        <w:rPr>
          <w:rFonts w:ascii="Tahoma" w:eastAsia="Calibri" w:hAnsi="Tahoma" w:cs="Tahoma"/>
          <w:lang w:eastAsia="en-ZA"/>
        </w:rPr>
      </w:pPr>
      <w:r w:rsidRPr="00B54676">
        <w:rPr>
          <w:rFonts w:ascii="Tahoma" w:eastAsia="Calibri" w:hAnsi="Tahoma" w:cs="Tahoma"/>
          <w:lang w:eastAsia="en-ZA"/>
        </w:rPr>
        <w:lastRenderedPageBreak/>
        <w:t xml:space="preserve"> </w:t>
      </w:r>
    </w:p>
    <w:p w:rsidR="003F2879" w:rsidRDefault="003F2879" w:rsidP="003F2879">
      <w:pPr>
        <w:spacing w:after="0" w:line="240" w:lineRule="auto"/>
        <w:jc w:val="both"/>
        <w:rPr>
          <w:rFonts w:ascii="Tahoma" w:eastAsia="Calibri" w:hAnsi="Tahoma" w:cs="Tahoma"/>
          <w:b/>
          <w:i/>
        </w:rPr>
      </w:pPr>
    </w:p>
    <w:p w:rsidR="003F2879" w:rsidRPr="004E142C" w:rsidRDefault="003F2879" w:rsidP="003F2879">
      <w:pPr>
        <w:spacing w:after="0" w:line="240" w:lineRule="auto"/>
        <w:jc w:val="both"/>
        <w:rPr>
          <w:rFonts w:ascii="Tahoma" w:eastAsia="Calibri" w:hAnsi="Tahoma" w:cs="Tahoma"/>
        </w:rPr>
      </w:pPr>
      <w:r w:rsidRPr="004E142C">
        <w:rPr>
          <w:rFonts w:ascii="Tahoma" w:eastAsia="Calibri" w:hAnsi="Tahoma" w:cs="Tahoma"/>
          <w:b/>
          <w:i/>
        </w:rPr>
        <w:t xml:space="preserve">Transparency and accountability: </w:t>
      </w:r>
      <w:r>
        <w:rPr>
          <w:rFonts w:ascii="Tahoma" w:eastAsia="Calibri" w:hAnsi="Tahoma" w:cs="Tahoma"/>
        </w:rPr>
        <w:t xml:space="preserve">Summits allow for all work and challenges to be shared and debated. The case studies are housed on the website and in Barometers. They feedback into campaigns led by the target groups.  </w:t>
      </w:r>
    </w:p>
    <w:p w:rsidR="003F2879" w:rsidRDefault="003F2879" w:rsidP="003F2879">
      <w:pPr>
        <w:spacing w:after="0" w:line="240" w:lineRule="auto"/>
        <w:jc w:val="both"/>
        <w:rPr>
          <w:rFonts w:ascii="Tahoma" w:eastAsia="Calibri" w:hAnsi="Tahoma" w:cs="Tahoma"/>
          <w:b/>
        </w:rPr>
      </w:pPr>
    </w:p>
    <w:p w:rsidR="003F2879" w:rsidRPr="00B54676" w:rsidRDefault="003F2879" w:rsidP="003F2879">
      <w:pPr>
        <w:spacing w:after="0" w:line="240" w:lineRule="auto"/>
        <w:jc w:val="both"/>
        <w:rPr>
          <w:rFonts w:ascii="Tahoma" w:eastAsia="Calibri" w:hAnsi="Tahoma" w:cs="Tahoma"/>
          <w:b/>
        </w:rPr>
      </w:pPr>
      <w:r w:rsidRPr="00B54676">
        <w:rPr>
          <w:rFonts w:ascii="Tahoma" w:eastAsia="Calibri" w:hAnsi="Tahoma" w:cs="Tahoma"/>
          <w:b/>
        </w:rPr>
        <w:t xml:space="preserve">Challenges </w:t>
      </w:r>
    </w:p>
    <w:p w:rsidR="003F2879" w:rsidRPr="00B54676" w:rsidRDefault="003F2879" w:rsidP="003F2879">
      <w:pPr>
        <w:spacing w:after="100" w:afterAutospacing="1" w:line="259" w:lineRule="auto"/>
        <w:jc w:val="both"/>
        <w:rPr>
          <w:rFonts w:ascii="Tahoma" w:eastAsia="Times New Roman" w:hAnsi="Tahoma" w:cs="Tahoma"/>
          <w:lang w:eastAsia="en-GB"/>
        </w:rPr>
      </w:pPr>
      <w:r>
        <w:rPr>
          <w:rFonts w:ascii="Tahoma" w:eastAsia="Times New Roman" w:hAnsi="Tahoma" w:cs="Tahoma"/>
          <w:lang w:eastAsia="en-GB"/>
        </w:rPr>
        <w:t xml:space="preserve">As reflected in the 2015 Barometer, only three countries have decriminalised sexual orientation; only South Africa allows choice of termination of pregnancy and no SADC country has decriminalised sex work. Custom, culture and religion remain strong influences on the ground, rolling back progress, especially on work with the three target groups.   </w:t>
      </w:r>
      <w:r w:rsidRPr="00B54676">
        <w:rPr>
          <w:rFonts w:ascii="Tahoma" w:eastAsia="Times New Roman" w:hAnsi="Tahoma" w:cs="Tahoma"/>
          <w:lang w:eastAsia="en-GB"/>
        </w:rPr>
        <w:t xml:space="preserve"> </w:t>
      </w:r>
    </w:p>
    <w:p w:rsidR="003F2879" w:rsidRDefault="003F2879" w:rsidP="003F2879">
      <w:pPr>
        <w:spacing w:after="0"/>
        <w:rPr>
          <w:rFonts w:ascii="Tahoma" w:hAnsi="Tahoma" w:cs="Tahoma"/>
          <w:b/>
        </w:rPr>
      </w:pPr>
      <w:r w:rsidRPr="00202AFC">
        <w:rPr>
          <w:rFonts w:ascii="Tahoma" w:hAnsi="Tahoma" w:cs="Tahoma"/>
          <w:b/>
        </w:rPr>
        <w:t xml:space="preserve">Lessons learned </w:t>
      </w:r>
      <w:r>
        <w:rPr>
          <w:rFonts w:ascii="Tahoma" w:hAnsi="Tahoma" w:cs="Tahoma"/>
          <w:b/>
        </w:rPr>
        <w:t>and next steps</w:t>
      </w:r>
    </w:p>
    <w:p w:rsidR="003F2879" w:rsidRDefault="003F2879" w:rsidP="003F2879">
      <w:pPr>
        <w:spacing w:after="0"/>
        <w:jc w:val="both"/>
        <w:rPr>
          <w:rFonts w:ascii="Tahoma" w:hAnsi="Tahoma" w:cs="Tahoma"/>
        </w:rPr>
      </w:pPr>
      <w:r w:rsidRPr="00305540">
        <w:rPr>
          <w:rFonts w:ascii="Tahoma" w:hAnsi="Tahoma" w:cs="Tahoma"/>
        </w:rPr>
        <w:t>GL has learned to be tactful, diplomatic and incremental in prising open the envelope on SRHR. Work on GBV, HIV and AIDS at the local level has opened the door to other sensitive SRHR issues; for example GL has conducted a pilot project</w:t>
      </w:r>
      <w:r>
        <w:rPr>
          <w:rFonts w:ascii="Tahoma" w:hAnsi="Tahoma" w:cs="Tahoma"/>
        </w:rPr>
        <w:t xml:space="preserve"> </w:t>
      </w:r>
      <w:r w:rsidRPr="00305540">
        <w:rPr>
          <w:rFonts w:ascii="Tahoma" w:hAnsi="Tahoma" w:cs="Tahoma"/>
        </w:rPr>
        <w:t xml:space="preserve">on </w:t>
      </w:r>
      <w:proofErr w:type="spellStart"/>
      <w:r w:rsidRPr="00305540">
        <w:rPr>
          <w:rFonts w:ascii="Tahoma" w:hAnsi="Tahoma" w:cs="Tahoma"/>
        </w:rPr>
        <w:t>LGBTI</w:t>
      </w:r>
      <w:proofErr w:type="spellEnd"/>
      <w:r w:rsidRPr="00305540">
        <w:rPr>
          <w:rFonts w:ascii="Tahoma" w:hAnsi="Tahoma" w:cs="Tahoma"/>
        </w:rPr>
        <w:t xml:space="preserve"> attitudes with councils in Namibia. GL has become adept at using local pressure to strengthen regional provisions and vice versa. Councils are ready to take on new challenges around flagship SRHR programmes focusing on youth and key populations.  </w:t>
      </w:r>
    </w:p>
    <w:p w:rsidR="003F2879" w:rsidRPr="00305540" w:rsidRDefault="003F2879" w:rsidP="003F2879">
      <w:pPr>
        <w:spacing w:after="0"/>
        <w:jc w:val="both"/>
        <w:rPr>
          <w:rFonts w:ascii="Tahoma" w:hAnsi="Tahoma" w:cs="Tahoma"/>
        </w:rPr>
      </w:pPr>
    </w:p>
    <w:p w:rsidR="004368C2" w:rsidRPr="004368C2" w:rsidRDefault="004368C2">
      <w:pPr>
        <w:rPr>
          <w:rFonts w:ascii="Tahoma" w:hAnsi="Tahoma" w:cs="Tahoma"/>
          <w:b/>
        </w:rPr>
      </w:pPr>
    </w:p>
    <w:sectPr w:rsidR="004368C2" w:rsidRPr="004368C2" w:rsidSect="00F7100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17C" w:rsidRDefault="003E217C" w:rsidP="00E01A9C">
      <w:pPr>
        <w:spacing w:after="0" w:line="240" w:lineRule="auto"/>
      </w:pPr>
      <w:r>
        <w:separator/>
      </w:r>
    </w:p>
  </w:endnote>
  <w:endnote w:type="continuationSeparator" w:id="0">
    <w:p w:rsidR="003E217C" w:rsidRDefault="003E217C" w:rsidP="00E01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354631"/>
      <w:docPartObj>
        <w:docPartGallery w:val="Page Numbers (Bottom of Page)"/>
        <w:docPartUnique/>
      </w:docPartObj>
    </w:sdtPr>
    <w:sdtEndPr>
      <w:rPr>
        <w:noProof/>
      </w:rPr>
    </w:sdtEndPr>
    <w:sdtContent>
      <w:p w:rsidR="00E01A9C" w:rsidRDefault="00E01A9C">
        <w:pPr>
          <w:pStyle w:val="Footer"/>
          <w:jc w:val="right"/>
        </w:pPr>
        <w:r>
          <w:fldChar w:fldCharType="begin"/>
        </w:r>
        <w:r>
          <w:instrText xml:space="preserve"> PAGE   \* MERGEFORMAT </w:instrText>
        </w:r>
        <w:r>
          <w:fldChar w:fldCharType="separate"/>
        </w:r>
        <w:r w:rsidR="006E76D3">
          <w:rPr>
            <w:noProof/>
          </w:rPr>
          <w:t>1</w:t>
        </w:r>
        <w:r>
          <w:rPr>
            <w:noProof/>
          </w:rPr>
          <w:fldChar w:fldCharType="end"/>
        </w:r>
      </w:p>
    </w:sdtContent>
  </w:sdt>
  <w:p w:rsidR="00E01A9C" w:rsidRDefault="00E01A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17C" w:rsidRDefault="003E217C" w:rsidP="00E01A9C">
      <w:pPr>
        <w:spacing w:after="0" w:line="240" w:lineRule="auto"/>
      </w:pPr>
      <w:r>
        <w:separator/>
      </w:r>
    </w:p>
  </w:footnote>
  <w:footnote w:type="continuationSeparator" w:id="0">
    <w:p w:rsidR="003E217C" w:rsidRDefault="003E217C" w:rsidP="00E01A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85B9C"/>
    <w:multiLevelType w:val="hybridMultilevel"/>
    <w:tmpl w:val="522E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727F55"/>
    <w:multiLevelType w:val="hybridMultilevel"/>
    <w:tmpl w:val="79565A9C"/>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
    <w:nsid w:val="4E25226C"/>
    <w:multiLevelType w:val="hybridMultilevel"/>
    <w:tmpl w:val="638A2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9676519"/>
    <w:multiLevelType w:val="hybridMultilevel"/>
    <w:tmpl w:val="77A4633C"/>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
    <w:nsid w:val="7E53076E"/>
    <w:multiLevelType w:val="hybridMultilevel"/>
    <w:tmpl w:val="7B46B72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76F"/>
    <w:rsid w:val="000E7149"/>
    <w:rsid w:val="00107D02"/>
    <w:rsid w:val="001A5806"/>
    <w:rsid w:val="001E03E4"/>
    <w:rsid w:val="00246A27"/>
    <w:rsid w:val="002A0AD0"/>
    <w:rsid w:val="002E0042"/>
    <w:rsid w:val="00322CA9"/>
    <w:rsid w:val="003E217C"/>
    <w:rsid w:val="003F2879"/>
    <w:rsid w:val="004368C2"/>
    <w:rsid w:val="00484235"/>
    <w:rsid w:val="00500BB6"/>
    <w:rsid w:val="005212DF"/>
    <w:rsid w:val="00525336"/>
    <w:rsid w:val="00554AC7"/>
    <w:rsid w:val="0056686B"/>
    <w:rsid w:val="005B54DB"/>
    <w:rsid w:val="0061639B"/>
    <w:rsid w:val="0066195F"/>
    <w:rsid w:val="00686104"/>
    <w:rsid w:val="006E76D3"/>
    <w:rsid w:val="00793785"/>
    <w:rsid w:val="007B72CB"/>
    <w:rsid w:val="007D72FE"/>
    <w:rsid w:val="007E753E"/>
    <w:rsid w:val="0080576F"/>
    <w:rsid w:val="00812902"/>
    <w:rsid w:val="00856687"/>
    <w:rsid w:val="008F75FD"/>
    <w:rsid w:val="009B2B14"/>
    <w:rsid w:val="00A01EE7"/>
    <w:rsid w:val="00A61521"/>
    <w:rsid w:val="00A85715"/>
    <w:rsid w:val="00A87394"/>
    <w:rsid w:val="00AB1EB8"/>
    <w:rsid w:val="00AE418E"/>
    <w:rsid w:val="00B1532F"/>
    <w:rsid w:val="00B96CE3"/>
    <w:rsid w:val="00CC6DF8"/>
    <w:rsid w:val="00D92CF2"/>
    <w:rsid w:val="00DA080B"/>
    <w:rsid w:val="00DB0610"/>
    <w:rsid w:val="00DE14D5"/>
    <w:rsid w:val="00E01A9C"/>
    <w:rsid w:val="00E610EF"/>
    <w:rsid w:val="00E67D5A"/>
    <w:rsid w:val="00EA597B"/>
    <w:rsid w:val="00F71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76F"/>
    <w:rPr>
      <w:rFonts w:ascii="Tahoma" w:hAnsi="Tahoma" w:cs="Tahoma"/>
      <w:sz w:val="16"/>
      <w:szCs w:val="16"/>
    </w:rPr>
  </w:style>
  <w:style w:type="table" w:styleId="TableGrid">
    <w:name w:val="Table Grid"/>
    <w:basedOn w:val="TableNormal"/>
    <w:uiPriority w:val="59"/>
    <w:rsid w:val="0055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902"/>
    <w:pPr>
      <w:ind w:left="720"/>
      <w:contextualSpacing/>
    </w:pPr>
  </w:style>
  <w:style w:type="table" w:customStyle="1" w:styleId="TableGrid1">
    <w:name w:val="Table Grid1"/>
    <w:basedOn w:val="TableNormal"/>
    <w:next w:val="TableGrid"/>
    <w:uiPriority w:val="39"/>
    <w:rsid w:val="00F7100C"/>
    <w:pPr>
      <w:spacing w:after="0" w:line="240" w:lineRule="auto"/>
    </w:pPr>
    <w:rPr>
      <w:rFonts w:ascii="Tahoma" w:eastAsia="Calibri" w:hAnsi="Tahoma"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1A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A9C"/>
  </w:style>
  <w:style w:type="paragraph" w:styleId="Footer">
    <w:name w:val="footer"/>
    <w:basedOn w:val="Normal"/>
    <w:link w:val="FooterChar"/>
    <w:uiPriority w:val="99"/>
    <w:unhideWhenUsed/>
    <w:rsid w:val="00E01A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A9C"/>
  </w:style>
  <w:style w:type="paragraph" w:styleId="Caption">
    <w:name w:val="caption"/>
    <w:basedOn w:val="Normal"/>
    <w:next w:val="Normal"/>
    <w:uiPriority w:val="35"/>
    <w:semiHidden/>
    <w:unhideWhenUsed/>
    <w:qFormat/>
    <w:rsid w:val="00E67D5A"/>
    <w:pPr>
      <w:spacing w:line="240" w:lineRule="auto"/>
    </w:pPr>
    <w:rPr>
      <w:b/>
      <w:bCs/>
      <w:color w:val="4F81BD" w:themeColor="accent1"/>
      <w:sz w:val="18"/>
      <w:szCs w:val="18"/>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76F"/>
    <w:rPr>
      <w:rFonts w:ascii="Tahoma" w:hAnsi="Tahoma" w:cs="Tahoma"/>
      <w:sz w:val="16"/>
      <w:szCs w:val="16"/>
    </w:rPr>
  </w:style>
  <w:style w:type="table" w:styleId="TableGrid">
    <w:name w:val="Table Grid"/>
    <w:basedOn w:val="TableNormal"/>
    <w:uiPriority w:val="59"/>
    <w:rsid w:val="0055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902"/>
    <w:pPr>
      <w:ind w:left="720"/>
      <w:contextualSpacing/>
    </w:pPr>
  </w:style>
  <w:style w:type="table" w:customStyle="1" w:styleId="TableGrid1">
    <w:name w:val="Table Grid1"/>
    <w:basedOn w:val="TableNormal"/>
    <w:next w:val="TableGrid"/>
    <w:uiPriority w:val="39"/>
    <w:rsid w:val="00F7100C"/>
    <w:pPr>
      <w:spacing w:after="0" w:line="240" w:lineRule="auto"/>
    </w:pPr>
    <w:rPr>
      <w:rFonts w:ascii="Tahoma" w:eastAsia="Calibri" w:hAnsi="Tahoma"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1A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A9C"/>
  </w:style>
  <w:style w:type="paragraph" w:styleId="Footer">
    <w:name w:val="footer"/>
    <w:basedOn w:val="Normal"/>
    <w:link w:val="FooterChar"/>
    <w:uiPriority w:val="99"/>
    <w:unhideWhenUsed/>
    <w:rsid w:val="00E01A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A9C"/>
  </w:style>
  <w:style w:type="paragraph" w:styleId="Caption">
    <w:name w:val="caption"/>
    <w:basedOn w:val="Normal"/>
    <w:next w:val="Normal"/>
    <w:uiPriority w:val="35"/>
    <w:semiHidden/>
    <w:unhideWhenUsed/>
    <w:qFormat/>
    <w:rsid w:val="00E67D5A"/>
    <w:pPr>
      <w:spacing w:line="240" w:lineRule="auto"/>
    </w:pPr>
    <w:rPr>
      <w:b/>
      <w:bCs/>
      <w:color w:val="4F81BD" w:themeColor="accent1"/>
      <w:sz w:val="18"/>
      <w:szCs w:val="18"/>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0375">
      <w:bodyDiv w:val="1"/>
      <w:marLeft w:val="0"/>
      <w:marRight w:val="0"/>
      <w:marTop w:val="0"/>
      <w:marBottom w:val="0"/>
      <w:divBdr>
        <w:top w:val="none" w:sz="0" w:space="0" w:color="auto"/>
        <w:left w:val="none" w:sz="0" w:space="0" w:color="auto"/>
        <w:bottom w:val="none" w:sz="0" w:space="0" w:color="auto"/>
        <w:right w:val="none" w:sz="0" w:space="0" w:color="auto"/>
      </w:divBdr>
    </w:div>
    <w:div w:id="291252283">
      <w:bodyDiv w:val="1"/>
      <w:marLeft w:val="0"/>
      <w:marRight w:val="0"/>
      <w:marTop w:val="0"/>
      <w:marBottom w:val="0"/>
      <w:divBdr>
        <w:top w:val="none" w:sz="0" w:space="0" w:color="auto"/>
        <w:left w:val="none" w:sz="0" w:space="0" w:color="auto"/>
        <w:bottom w:val="none" w:sz="0" w:space="0" w:color="auto"/>
        <w:right w:val="none" w:sz="0" w:space="0" w:color="auto"/>
      </w:divBdr>
    </w:div>
    <w:div w:id="652367908">
      <w:bodyDiv w:val="1"/>
      <w:marLeft w:val="0"/>
      <w:marRight w:val="0"/>
      <w:marTop w:val="0"/>
      <w:marBottom w:val="0"/>
      <w:divBdr>
        <w:top w:val="none" w:sz="0" w:space="0" w:color="auto"/>
        <w:left w:val="none" w:sz="0" w:space="0" w:color="auto"/>
        <w:bottom w:val="none" w:sz="0" w:space="0" w:color="auto"/>
        <w:right w:val="none" w:sz="0" w:space="0" w:color="auto"/>
      </w:divBdr>
    </w:div>
    <w:div w:id="1123578003">
      <w:bodyDiv w:val="1"/>
      <w:marLeft w:val="0"/>
      <w:marRight w:val="0"/>
      <w:marTop w:val="0"/>
      <w:marBottom w:val="0"/>
      <w:divBdr>
        <w:top w:val="none" w:sz="0" w:space="0" w:color="auto"/>
        <w:left w:val="none" w:sz="0" w:space="0" w:color="auto"/>
        <w:bottom w:val="none" w:sz="0" w:space="0" w:color="auto"/>
        <w:right w:val="none" w:sz="0" w:space="0" w:color="auto"/>
      </w:divBdr>
    </w:div>
    <w:div w:id="1494757513">
      <w:bodyDiv w:val="1"/>
      <w:marLeft w:val="0"/>
      <w:marRight w:val="0"/>
      <w:marTop w:val="0"/>
      <w:marBottom w:val="0"/>
      <w:divBdr>
        <w:top w:val="none" w:sz="0" w:space="0" w:color="auto"/>
        <w:left w:val="none" w:sz="0" w:space="0" w:color="auto"/>
        <w:bottom w:val="none" w:sz="0" w:space="0" w:color="auto"/>
        <w:right w:val="none" w:sz="0" w:space="0" w:color="auto"/>
      </w:divBdr>
    </w:div>
    <w:div w:id="164064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image" Target="media/image50.jpeg"/><Relationship Id="rId39" Type="http://schemas.openxmlformats.org/officeDocument/2006/relationships/chart" Target="charts/chart9.xml"/><Relationship Id="rId3" Type="http://schemas.microsoft.com/office/2007/relationships/stylesWithEffects" Target="stylesWithEffects.xml"/><Relationship Id="rId21" Type="http://schemas.openxmlformats.org/officeDocument/2006/relationships/chart" Target="charts/chart4.xml"/><Relationship Id="rId34" Type="http://schemas.openxmlformats.org/officeDocument/2006/relationships/diagramQuickStyle" Target="diagrams/quickStyle2.xml"/><Relationship Id="rId42"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microsoft.com/office/2007/relationships/hdphoto" Target="media/hdphoto2.wdp"/><Relationship Id="rId33" Type="http://schemas.openxmlformats.org/officeDocument/2006/relationships/diagramLayout" Target="diagrams/layout2.xml"/><Relationship Id="rId38"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1.xml"/><Relationship Id="rId20" Type="http://schemas.microsoft.com/office/2007/relationships/hdphoto" Target="media/hdphoto1.wdp"/><Relationship Id="rId29" Type="http://schemas.openxmlformats.org/officeDocument/2006/relationships/chart" Target="charts/chart6.xml"/><Relationship Id="rId41"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jpeg"/><Relationship Id="rId32" Type="http://schemas.openxmlformats.org/officeDocument/2006/relationships/diagramData" Target="diagrams/data2.xml"/><Relationship Id="rId37" Type="http://schemas.openxmlformats.org/officeDocument/2006/relationships/chart" Target="charts/chart7.xml"/><Relationship Id="rId40" Type="http://schemas.openxmlformats.org/officeDocument/2006/relationships/chart" Target="charts/chart10.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5.xml"/><Relationship Id="rId28" Type="http://schemas.openxmlformats.org/officeDocument/2006/relationships/image" Target="media/image6.png"/><Relationship Id="rId36"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4.jpeg"/><Relationship Id="rId27" Type="http://schemas.microsoft.com/office/2007/relationships/hdphoto" Target="media/hdphoto20.wdp"/><Relationship Id="rId30" Type="http://schemas.openxmlformats.org/officeDocument/2006/relationships/image" Target="media/image7.jpeg"/><Relationship Id="rId35" Type="http://schemas.openxmlformats.org/officeDocument/2006/relationships/diagramColors" Target="diagrams/colors2.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ahoma" panose="020B0604030504040204" pitchFamily="34" charset="0"/>
                <a:ea typeface="Tahoma" panose="020B0604030504040204" pitchFamily="34" charset="0"/>
                <a:cs typeface="Tahoma" panose="020B0604030504040204" pitchFamily="34" charset="0"/>
              </a:rPr>
              <a:t>Origin</a:t>
            </a:r>
            <a:r>
              <a:rPr lang="en-US" baseline="0">
                <a:latin typeface="Tahoma" panose="020B0604030504040204" pitchFamily="34" charset="0"/>
                <a:ea typeface="Tahoma" panose="020B0604030504040204" pitchFamily="34" charset="0"/>
                <a:cs typeface="Tahoma" panose="020B0604030504040204" pitchFamily="34" charset="0"/>
              </a:rPr>
              <a:t> of SRHR case studies at the 2015 summit</a:t>
            </a:r>
            <a:endParaRPr lang="en-US">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Zimbabwe</c:v>
                </c:pt>
                <c:pt idx="1">
                  <c:v>Madagascar</c:v>
                </c:pt>
                <c:pt idx="2">
                  <c:v>Botswana</c:v>
                </c:pt>
                <c:pt idx="3">
                  <c:v>South Africa</c:v>
                </c:pt>
                <c:pt idx="4">
                  <c:v>Mauritius</c:v>
                </c:pt>
                <c:pt idx="5">
                  <c:v>Swaziland</c:v>
                </c:pt>
                <c:pt idx="6">
                  <c:v>Namibia</c:v>
                </c:pt>
                <c:pt idx="7">
                  <c:v>Zambia</c:v>
                </c:pt>
                <c:pt idx="8">
                  <c:v>Lesotho</c:v>
                </c:pt>
                <c:pt idx="9">
                  <c:v>Mozambique</c:v>
                </c:pt>
                <c:pt idx="10">
                  <c:v>Malawi</c:v>
                </c:pt>
                <c:pt idx="11">
                  <c:v>Tanzania</c:v>
                </c:pt>
              </c:strCache>
            </c:strRef>
          </c:cat>
          <c:val>
            <c:numRef>
              <c:f>Sheet1!$B$2:$B$13</c:f>
              <c:numCache>
                <c:formatCode>General</c:formatCode>
                <c:ptCount val="12"/>
                <c:pt idx="0">
                  <c:v>25</c:v>
                </c:pt>
                <c:pt idx="1">
                  <c:v>21</c:v>
                </c:pt>
                <c:pt idx="2">
                  <c:v>8</c:v>
                </c:pt>
                <c:pt idx="3">
                  <c:v>8</c:v>
                </c:pt>
                <c:pt idx="4">
                  <c:v>7</c:v>
                </c:pt>
                <c:pt idx="5">
                  <c:v>6</c:v>
                </c:pt>
                <c:pt idx="6">
                  <c:v>5</c:v>
                </c:pt>
                <c:pt idx="7">
                  <c:v>5</c:v>
                </c:pt>
                <c:pt idx="8">
                  <c:v>3</c:v>
                </c:pt>
                <c:pt idx="9">
                  <c:v>3</c:v>
                </c:pt>
                <c:pt idx="10">
                  <c:v>2</c:v>
                </c:pt>
                <c:pt idx="11">
                  <c:v>1</c:v>
                </c:pt>
              </c:numCache>
            </c:numRef>
          </c:val>
        </c:ser>
        <c:dLbls>
          <c:dLblPos val="outEnd"/>
          <c:showLegendKey val="0"/>
          <c:showVal val="1"/>
          <c:showCatName val="0"/>
          <c:showSerName val="0"/>
          <c:showPercent val="0"/>
          <c:showBubbleSize val="0"/>
        </c:dLbls>
        <c:gapWidth val="100"/>
        <c:overlap val="-27"/>
        <c:axId val="366914944"/>
        <c:axId val="367024384"/>
      </c:barChart>
      <c:catAx>
        <c:axId val="36691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67024384"/>
        <c:crosses val="autoZero"/>
        <c:auto val="1"/>
        <c:lblAlgn val="ctr"/>
        <c:lblOffset val="100"/>
        <c:noMultiLvlLbl val="0"/>
      </c:catAx>
      <c:valAx>
        <c:axId val="367024384"/>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1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050" b="1" i="0" u="none" strike="noStrike" baseline="0">
                <a:effectLst/>
                <a:latin typeface="Tahoma" panose="020B0604030504040204" pitchFamily="34" charset="0"/>
                <a:ea typeface="Tahoma" panose="020B0604030504040204" pitchFamily="34" charset="0"/>
                <a:cs typeface="Tahoma" panose="020B0604030504040204" pitchFamily="34" charset="0"/>
              </a:rPr>
              <a:t> Protocol targets referenced</a:t>
            </a:r>
            <a:endParaRPr lang="en-US" sz="1050" b="1">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manualLayout>
          <c:layoutTarget val="inner"/>
          <c:xMode val="edge"/>
          <c:yMode val="edge"/>
          <c:x val="0.48058535468301361"/>
          <c:y val="0.14989802998763085"/>
          <c:w val="0.45349151825820433"/>
          <c:h val="0.749611220472441"/>
        </c:manualLayout>
      </c:layout>
      <c:barChart>
        <c:barDir val="bar"/>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Reduce the maternal mortality ratio by 75%</c:v>
                </c:pt>
                <c:pt idx="1">
                  <c:v>Resources for care givers</c:v>
                </c:pt>
                <c:pt idx="2">
                  <c:v>Laws to prevent human trafficking</c:v>
                </c:pt>
                <c:pt idx="3">
                  <c:v>Laws and policies prohibiting sexual harassment</c:v>
                </c:pt>
                <c:pt idx="4">
                  <c:v>Policies and programmes on care work</c:v>
                </c:pt>
                <c:pt idx="5">
                  <c:v>Provision of hygiene, sanitary  facilities nutritional needs of women</c:v>
                </c:pt>
                <c:pt idx="6">
                  <c:v>Enhance gender sensitive, affordable quality health care</c:v>
                </c:pt>
                <c:pt idx="7">
                  <c:v>Gender sensitive strategies to prevent new infections</c:v>
                </c:pt>
                <c:pt idx="8">
                  <c:v>Legislation prohibiting all forms of GBV</c:v>
                </c:pt>
                <c:pt idx="9">
                  <c:v>Laws prohibiting sexual offences and GBV</c:v>
                </c:pt>
                <c:pt idx="10">
                  <c:v>Abolish the minority status of women</c:v>
                </c:pt>
                <c:pt idx="11">
                  <c:v>Services for survivors of GBV</c:v>
                </c:pt>
                <c:pt idx="12">
                  <c:v>Address the mental, SRH needs of women and men</c:v>
                </c:pt>
                <c:pt idx="13">
                  <c:v>Universal access to HIV and AIDS treatment</c:v>
                </c:pt>
                <c:pt idx="14">
                  <c:v>Integrated approaches to reduce levels of GBV</c:v>
                </c:pt>
              </c:strCache>
            </c:strRef>
          </c:cat>
          <c:val>
            <c:numRef>
              <c:f>Sheet1!$B$2:$B$16</c:f>
              <c:numCache>
                <c:formatCode>0%</c:formatCode>
                <c:ptCount val="15"/>
                <c:pt idx="0">
                  <c:v>0.01</c:v>
                </c:pt>
                <c:pt idx="1">
                  <c:v>1.2195121951219513E-2</c:v>
                </c:pt>
                <c:pt idx="2">
                  <c:v>2.4390243902439025E-2</c:v>
                </c:pt>
                <c:pt idx="3">
                  <c:v>0.03</c:v>
                </c:pt>
                <c:pt idx="4">
                  <c:v>0.03</c:v>
                </c:pt>
                <c:pt idx="5">
                  <c:v>0.04</c:v>
                </c:pt>
                <c:pt idx="6">
                  <c:v>0.05</c:v>
                </c:pt>
                <c:pt idx="7">
                  <c:v>0.05</c:v>
                </c:pt>
                <c:pt idx="8">
                  <c:v>7.0000000000000007E-2</c:v>
                </c:pt>
                <c:pt idx="9">
                  <c:v>0.08</c:v>
                </c:pt>
                <c:pt idx="10">
                  <c:v>0.1</c:v>
                </c:pt>
                <c:pt idx="11">
                  <c:v>0.13</c:v>
                </c:pt>
                <c:pt idx="12">
                  <c:v>0.14000000000000001</c:v>
                </c:pt>
                <c:pt idx="13">
                  <c:v>0.15</c:v>
                </c:pt>
                <c:pt idx="14">
                  <c:v>0.3</c:v>
                </c:pt>
              </c:numCache>
            </c:numRef>
          </c:val>
        </c:ser>
        <c:dLbls>
          <c:dLblPos val="outEnd"/>
          <c:showLegendKey val="0"/>
          <c:showVal val="1"/>
          <c:showCatName val="0"/>
          <c:showSerName val="0"/>
          <c:showPercent val="0"/>
          <c:showBubbleSize val="0"/>
        </c:dLbls>
        <c:gapWidth val="100"/>
        <c:axId val="239010944"/>
        <c:axId val="239012480"/>
      </c:barChart>
      <c:catAx>
        <c:axId val="23901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39012480"/>
        <c:crosses val="autoZero"/>
        <c:auto val="1"/>
        <c:lblAlgn val="ctr"/>
        <c:lblOffset val="100"/>
        <c:noMultiLvlLbl val="0"/>
      </c:catAx>
      <c:valAx>
        <c:axId val="239012480"/>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01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59437124814846"/>
          <c:y val="0.1537293307086614"/>
          <c:w val="0.61009104060012298"/>
          <c:h val="0.749611220472441"/>
        </c:manualLayout>
      </c:layout>
      <c:barChart>
        <c:barDir val="bar"/>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Sexual pleasure</c:v>
                </c:pt>
                <c:pt idx="1">
                  <c:v>Access to abortion services</c:v>
                </c:pt>
                <c:pt idx="2">
                  <c:v>Right to abortion</c:v>
                </c:pt>
                <c:pt idx="3">
                  <c:v>Sexual integrity</c:v>
                </c:pt>
                <c:pt idx="4">
                  <c:v>Sexual freedom</c:v>
                </c:pt>
                <c:pt idx="5">
                  <c:v>Sexual education</c:v>
                </c:pt>
                <c:pt idx="6">
                  <c:v>Making decisions on family planning</c:v>
                </c:pt>
                <c:pt idx="7">
                  <c:v>Free reproductive choices</c:v>
                </c:pt>
                <c:pt idx="8">
                  <c:v>Improved safety during pregnancy</c:v>
                </c:pt>
                <c:pt idx="9">
                  <c:v>Access to sexual information</c:v>
                </c:pt>
                <c:pt idx="10">
                  <c:v>Affordable SRH and services</c:v>
                </c:pt>
                <c:pt idx="11">
                  <c:v>Sexual and reproductive rights </c:v>
                </c:pt>
                <c:pt idx="12">
                  <c:v>Accessible SRH and services</c:v>
                </c:pt>
                <c:pt idx="13">
                  <c:v>Freedom from gender based violence</c:v>
                </c:pt>
              </c:strCache>
            </c:strRef>
          </c:cat>
          <c:val>
            <c:numRef>
              <c:f>Sheet1!$B$2:$B$15</c:f>
              <c:numCache>
                <c:formatCode>0%</c:formatCode>
                <c:ptCount val="14"/>
                <c:pt idx="0">
                  <c:v>0</c:v>
                </c:pt>
                <c:pt idx="1">
                  <c:v>0.01</c:v>
                </c:pt>
                <c:pt idx="2">
                  <c:v>0.02</c:v>
                </c:pt>
                <c:pt idx="3">
                  <c:v>0.02</c:v>
                </c:pt>
                <c:pt idx="4">
                  <c:v>0.04</c:v>
                </c:pt>
                <c:pt idx="5">
                  <c:v>0.05</c:v>
                </c:pt>
                <c:pt idx="6">
                  <c:v>7.0000000000000007E-2</c:v>
                </c:pt>
                <c:pt idx="7">
                  <c:v>0.08</c:v>
                </c:pt>
                <c:pt idx="8">
                  <c:v>0.08</c:v>
                </c:pt>
                <c:pt idx="9">
                  <c:v>0.09</c:v>
                </c:pt>
                <c:pt idx="10">
                  <c:v>0.1</c:v>
                </c:pt>
                <c:pt idx="11">
                  <c:v>0.13</c:v>
                </c:pt>
                <c:pt idx="12">
                  <c:v>0.22</c:v>
                </c:pt>
                <c:pt idx="13">
                  <c:v>0.23</c:v>
                </c:pt>
              </c:numCache>
            </c:numRef>
          </c:val>
        </c:ser>
        <c:dLbls>
          <c:dLblPos val="outEnd"/>
          <c:showLegendKey val="0"/>
          <c:showVal val="1"/>
          <c:showCatName val="0"/>
          <c:showSerName val="0"/>
          <c:showPercent val="0"/>
          <c:showBubbleSize val="0"/>
        </c:dLbls>
        <c:gapWidth val="100"/>
        <c:axId val="246606464"/>
        <c:axId val="239206784"/>
      </c:barChart>
      <c:catAx>
        <c:axId val="24660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39206784"/>
        <c:crosses val="autoZero"/>
        <c:auto val="1"/>
        <c:lblAlgn val="ctr"/>
        <c:lblOffset val="100"/>
        <c:noMultiLvlLbl val="0"/>
      </c:catAx>
      <c:valAx>
        <c:axId val="239206784"/>
        <c:scaling>
          <c:orientation val="minMax"/>
          <c:max val="0.2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0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mn-lt"/>
                <a:ea typeface="Tahoma" panose="020B0604030504040204" pitchFamily="34" charset="0"/>
                <a:cs typeface="Tahoma" panose="020B0604030504040204" pitchFamily="34" charset="0"/>
              </a:rPr>
              <a:t>Types of change</a:t>
            </a:r>
            <a:r>
              <a:rPr lang="en-US" b="1" baseline="0">
                <a:latin typeface="+mn-lt"/>
                <a:ea typeface="Tahoma" panose="020B0604030504040204" pitchFamily="34" charset="0"/>
                <a:cs typeface="Tahoma" panose="020B0604030504040204" pitchFamily="34" charset="0"/>
              </a:rPr>
              <a:t> </a:t>
            </a:r>
            <a:r>
              <a:rPr lang="en-US" b="1">
                <a:latin typeface="+mn-lt"/>
                <a:ea typeface="Tahoma" panose="020B0604030504040204" pitchFamily="34" charset="0"/>
                <a:cs typeface="Tahoma" panose="020B0604030504040204" pitchFamily="34" charset="0"/>
              </a:rPr>
              <a:t>taking place</a:t>
            </a:r>
            <a:r>
              <a:rPr lang="en-US" b="1" baseline="0">
                <a:latin typeface="+mn-lt"/>
                <a:ea typeface="Tahoma" panose="020B0604030504040204" pitchFamily="34" charset="0"/>
                <a:cs typeface="Tahoma" panose="020B0604030504040204" pitchFamily="34" charset="0"/>
              </a:rPr>
              <a:t> through SRHR initiatives </a:t>
            </a:r>
            <a:r>
              <a:rPr lang="en-US" b="1">
                <a:latin typeface="+mn-lt"/>
                <a:ea typeface="Tahoma" panose="020B0604030504040204" pitchFamily="34" charset="0"/>
                <a:cs typeface="Tahoma" panose="020B0604030504040204" pitchFamily="34" charset="0"/>
              </a:rPr>
              <a:t> </a:t>
            </a:r>
          </a:p>
        </c:rich>
      </c:tx>
      <c:layout>
        <c:manualLayout>
          <c:xMode val="edge"/>
          <c:yMode val="edge"/>
          <c:x val="7.4146933819064967E-2"/>
          <c:y val="2.199818909099244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Greater public awareness of the issue</c:v>
                </c:pt>
                <c:pt idx="1">
                  <c:v>Change of behaviour</c:v>
                </c:pt>
                <c:pt idx="2">
                  <c:v>Change of attitude; reduced stigma</c:v>
                </c:pt>
                <c:pt idx="3">
                  <c:v>Improved services</c:v>
                </c:pt>
                <c:pt idx="4">
                  <c:v>Change in policy, law or regulation</c:v>
                </c:pt>
              </c:strCache>
            </c:strRef>
          </c:cat>
          <c:val>
            <c:numRef>
              <c:f>Sheet1!$B$2:$B$6</c:f>
              <c:numCache>
                <c:formatCode>0%</c:formatCode>
                <c:ptCount val="5"/>
                <c:pt idx="0">
                  <c:v>0.18478260869565216</c:v>
                </c:pt>
                <c:pt idx="1">
                  <c:v>0.17391304347826086</c:v>
                </c:pt>
                <c:pt idx="2">
                  <c:v>0.11956521739130435</c:v>
                </c:pt>
                <c:pt idx="3">
                  <c:v>7.6086956521739135E-2</c:v>
                </c:pt>
                <c:pt idx="4">
                  <c:v>6.5217391304347824E-2</c:v>
                </c:pt>
              </c:numCache>
            </c:numRef>
          </c:val>
        </c:ser>
        <c:dLbls>
          <c:dLblPos val="outEnd"/>
          <c:showLegendKey val="0"/>
          <c:showVal val="1"/>
          <c:showCatName val="0"/>
          <c:showSerName val="0"/>
          <c:showPercent val="0"/>
          <c:showBubbleSize val="0"/>
        </c:dLbls>
        <c:gapWidth val="150"/>
        <c:axId val="239225472"/>
        <c:axId val="246572544"/>
      </c:barChart>
      <c:catAx>
        <c:axId val="239225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46572544"/>
        <c:crosses val="autoZero"/>
        <c:auto val="1"/>
        <c:lblAlgn val="ctr"/>
        <c:lblOffset val="100"/>
        <c:noMultiLvlLbl val="0"/>
      </c:catAx>
      <c:valAx>
        <c:axId val="246572544"/>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22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latin typeface="Tahoma" panose="020B0604030504040204" pitchFamily="34" charset="0"/>
                <a:ea typeface="Tahoma" panose="020B0604030504040204" pitchFamily="34" charset="0"/>
                <a:cs typeface="Tahoma" panose="020B0604030504040204" pitchFamily="34" charset="0"/>
              </a:rPr>
              <a:t> </a:t>
            </a:r>
            <a:r>
              <a:rPr lang="en-US" sz="1100" b="1">
                <a:latin typeface="Tahoma" panose="020B0604030504040204" pitchFamily="34" charset="0"/>
                <a:ea typeface="Tahoma" panose="020B0604030504040204" pitchFamily="34" charset="0"/>
                <a:cs typeface="Tahoma" panose="020B0604030504040204" pitchFamily="34" charset="0"/>
              </a:rPr>
              <a:t>Type of organisation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Local government</c:v>
                </c:pt>
                <c:pt idx="1">
                  <c:v>Community Based Organisation</c:v>
                </c:pt>
                <c:pt idx="2">
                  <c:v>Non-Governmental Organisation</c:v>
                </c:pt>
                <c:pt idx="3">
                  <c:v>Government department/ministry</c:v>
                </c:pt>
                <c:pt idx="4">
                  <c:v>Faith based Organisation </c:v>
                </c:pt>
              </c:strCache>
            </c:strRef>
          </c:cat>
          <c:val>
            <c:numRef>
              <c:f>Sheet1!$B$2:$B$6</c:f>
              <c:numCache>
                <c:formatCode>0%</c:formatCode>
                <c:ptCount val="5"/>
                <c:pt idx="0">
                  <c:v>0.27</c:v>
                </c:pt>
                <c:pt idx="1">
                  <c:v>0.18</c:v>
                </c:pt>
                <c:pt idx="2">
                  <c:v>0.13</c:v>
                </c:pt>
                <c:pt idx="3">
                  <c:v>7.0000000000000007E-2</c:v>
                </c:pt>
                <c:pt idx="4">
                  <c:v>2.4390243902439025E-2</c:v>
                </c:pt>
              </c:numCache>
            </c:numRef>
          </c:val>
        </c:ser>
        <c:dLbls>
          <c:dLblPos val="outEnd"/>
          <c:showLegendKey val="0"/>
          <c:showVal val="1"/>
          <c:showCatName val="0"/>
          <c:showSerName val="0"/>
          <c:showPercent val="0"/>
          <c:showBubbleSize val="0"/>
        </c:dLbls>
        <c:gapWidth val="100"/>
        <c:overlap val="-27"/>
        <c:axId val="219432064"/>
        <c:axId val="219443200"/>
      </c:barChart>
      <c:catAx>
        <c:axId val="21943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19443200"/>
        <c:crosses val="autoZero"/>
        <c:auto val="1"/>
        <c:lblAlgn val="ctr"/>
        <c:lblOffset val="100"/>
        <c:noMultiLvlLbl val="0"/>
      </c:catAx>
      <c:valAx>
        <c:axId val="219443200"/>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3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ZA" sz="1200">
                <a:latin typeface="+mn-lt"/>
                <a:ea typeface="Tahoma" panose="020B0604030504040204" pitchFamily="34" charset="0"/>
                <a:cs typeface="Tahoma" panose="020B0604030504040204" pitchFamily="34" charset="0"/>
              </a:rPr>
              <a:t>Target</a:t>
            </a:r>
            <a:r>
              <a:rPr lang="en-ZA" sz="1200" baseline="0">
                <a:latin typeface="+mn-lt"/>
                <a:ea typeface="Tahoma" panose="020B0604030504040204" pitchFamily="34" charset="0"/>
                <a:cs typeface="Tahoma" panose="020B0604030504040204" pitchFamily="34" charset="0"/>
              </a:rPr>
              <a:t> groups in the Summit Case Studies</a:t>
            </a:r>
            <a:endParaRPr lang="en-ZA" sz="1200">
              <a:latin typeface="+mn-lt"/>
              <a:ea typeface="Tahoma" panose="020B0604030504040204" pitchFamily="34" charset="0"/>
              <a:cs typeface="Tahoma" panose="020B0604030504040204"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905923344947737E-2"/>
          <c:y val="0.17156737055046525"/>
          <c:w val="0.55104447309939919"/>
          <c:h val="0.68262466580891268"/>
        </c:manualLayout>
      </c:layout>
      <c:pie3DChart>
        <c:varyColors val="1"/>
        <c:ser>
          <c:idx val="0"/>
          <c:order val="0"/>
          <c:explosion val="25"/>
          <c:dLbls>
            <c:dLblPos val="outEnd"/>
            <c:showLegendKey val="0"/>
            <c:showVal val="1"/>
            <c:showCatName val="0"/>
            <c:showSerName val="0"/>
            <c:showPercent val="0"/>
            <c:showBubbleSize val="0"/>
            <c:showLeaderLines val="1"/>
          </c:dLbls>
          <c:cat>
            <c:strRef>
              <c:f>'Target group'!$A$16:$A$19</c:f>
              <c:strCache>
                <c:ptCount val="4"/>
                <c:pt idx="0">
                  <c:v>Women </c:v>
                </c:pt>
                <c:pt idx="1">
                  <c:v>Men </c:v>
                </c:pt>
                <c:pt idx="2">
                  <c:v>Youth </c:v>
                </c:pt>
                <c:pt idx="3">
                  <c:v>Key populations: </c:v>
                </c:pt>
              </c:strCache>
            </c:strRef>
          </c:cat>
          <c:val>
            <c:numRef>
              <c:f>'Target group'!$B$16:$B$19</c:f>
              <c:numCache>
                <c:formatCode>0%</c:formatCode>
                <c:ptCount val="4"/>
                <c:pt idx="0">
                  <c:v>0.4</c:v>
                </c:pt>
                <c:pt idx="1">
                  <c:v>0.27</c:v>
                </c:pt>
                <c:pt idx="2">
                  <c:v>0.21</c:v>
                </c:pt>
                <c:pt idx="3">
                  <c:v>0.11504424778761062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555740898241379"/>
          <c:y val="0.17590946282203085"/>
          <c:w val="0.32351998683091443"/>
          <c:h val="0.5184119867157847"/>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050" b="1" i="0" u="none" strike="noStrike" baseline="0">
                <a:effectLst/>
                <a:latin typeface="Tahoma" panose="020B0604030504040204" pitchFamily="34" charset="0"/>
                <a:ea typeface="Tahoma" panose="020B0604030504040204" pitchFamily="34" charset="0"/>
                <a:cs typeface="Tahoma" panose="020B0604030504040204" pitchFamily="34" charset="0"/>
              </a:rPr>
              <a:t> Protocol targets referenced</a:t>
            </a:r>
            <a:endParaRPr lang="en-US" sz="1050" b="1">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manualLayout>
          <c:layoutTarget val="inner"/>
          <c:xMode val="edge"/>
          <c:yMode val="edge"/>
          <c:x val="0.48058535468301361"/>
          <c:y val="0.14989802998763085"/>
          <c:w val="0.45349151825820433"/>
          <c:h val="0.749611220472441"/>
        </c:manualLayout>
      </c:layout>
      <c:barChart>
        <c:barDir val="bar"/>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Reduce the maternal mortality ratio by 75%</c:v>
                </c:pt>
                <c:pt idx="1">
                  <c:v>Resources for care givers</c:v>
                </c:pt>
                <c:pt idx="2">
                  <c:v>Laws to prevent human trafficking</c:v>
                </c:pt>
                <c:pt idx="3">
                  <c:v>Laws and policies prohibiting sexual harassment</c:v>
                </c:pt>
                <c:pt idx="4">
                  <c:v>Policies and programmes on care work</c:v>
                </c:pt>
                <c:pt idx="5">
                  <c:v>Provision of hygiene, sanitary  facilities nutritional needs of women</c:v>
                </c:pt>
                <c:pt idx="6">
                  <c:v>Enhance gender sensitive, affordable quality health care</c:v>
                </c:pt>
                <c:pt idx="7">
                  <c:v>Gender sensitive strategies to prevent new infections</c:v>
                </c:pt>
                <c:pt idx="8">
                  <c:v>Legislation prohibiting all forms of GBV</c:v>
                </c:pt>
                <c:pt idx="9">
                  <c:v>Laws prohibiting sexual offences and GBV</c:v>
                </c:pt>
                <c:pt idx="10">
                  <c:v>Abolish the minority status of women</c:v>
                </c:pt>
                <c:pt idx="11">
                  <c:v>Services for survivors of GBV</c:v>
                </c:pt>
                <c:pt idx="12">
                  <c:v>Address the mental, SRH needs of women and men</c:v>
                </c:pt>
                <c:pt idx="13">
                  <c:v>Universal access to HIV and AIDS treatment</c:v>
                </c:pt>
                <c:pt idx="14">
                  <c:v>Integrated approaches to reduce levels of GBV</c:v>
                </c:pt>
              </c:strCache>
            </c:strRef>
          </c:cat>
          <c:val>
            <c:numRef>
              <c:f>Sheet1!$B$2:$B$16</c:f>
              <c:numCache>
                <c:formatCode>0%</c:formatCode>
                <c:ptCount val="15"/>
                <c:pt idx="0">
                  <c:v>0.01</c:v>
                </c:pt>
                <c:pt idx="1">
                  <c:v>1.2195121951219513E-2</c:v>
                </c:pt>
                <c:pt idx="2">
                  <c:v>2.4390243902439025E-2</c:v>
                </c:pt>
                <c:pt idx="3">
                  <c:v>0.03</c:v>
                </c:pt>
                <c:pt idx="4">
                  <c:v>0.03</c:v>
                </c:pt>
                <c:pt idx="5">
                  <c:v>0.04</c:v>
                </c:pt>
                <c:pt idx="6">
                  <c:v>0.05</c:v>
                </c:pt>
                <c:pt idx="7">
                  <c:v>0.05</c:v>
                </c:pt>
                <c:pt idx="8">
                  <c:v>7.0000000000000007E-2</c:v>
                </c:pt>
                <c:pt idx="9">
                  <c:v>0.08</c:v>
                </c:pt>
                <c:pt idx="10">
                  <c:v>0.1</c:v>
                </c:pt>
                <c:pt idx="11">
                  <c:v>0.13</c:v>
                </c:pt>
                <c:pt idx="12">
                  <c:v>0.14000000000000001</c:v>
                </c:pt>
                <c:pt idx="13">
                  <c:v>0.15</c:v>
                </c:pt>
                <c:pt idx="14">
                  <c:v>0.3</c:v>
                </c:pt>
              </c:numCache>
            </c:numRef>
          </c:val>
        </c:ser>
        <c:dLbls>
          <c:dLblPos val="outEnd"/>
          <c:showLegendKey val="0"/>
          <c:showVal val="1"/>
          <c:showCatName val="0"/>
          <c:showSerName val="0"/>
          <c:showPercent val="0"/>
          <c:showBubbleSize val="0"/>
        </c:dLbls>
        <c:gapWidth val="100"/>
        <c:axId val="215746048"/>
        <c:axId val="215761280"/>
      </c:barChart>
      <c:catAx>
        <c:axId val="21574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15761280"/>
        <c:crosses val="autoZero"/>
        <c:auto val="1"/>
        <c:lblAlgn val="ctr"/>
        <c:lblOffset val="100"/>
        <c:noMultiLvlLbl val="0"/>
      </c:catAx>
      <c:valAx>
        <c:axId val="215761280"/>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74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859437124814846"/>
          <c:y val="0.1537293307086614"/>
          <c:w val="0.61009104060012298"/>
          <c:h val="0.749611220472441"/>
        </c:manualLayout>
      </c:layout>
      <c:barChart>
        <c:barDir val="bar"/>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Sexual pleasure</c:v>
                </c:pt>
                <c:pt idx="1">
                  <c:v>Access to abortion services</c:v>
                </c:pt>
                <c:pt idx="2">
                  <c:v>Right to abortion</c:v>
                </c:pt>
                <c:pt idx="3">
                  <c:v>Sexual integrity</c:v>
                </c:pt>
                <c:pt idx="4">
                  <c:v>Sexual freedom</c:v>
                </c:pt>
                <c:pt idx="5">
                  <c:v>Sexual education</c:v>
                </c:pt>
                <c:pt idx="6">
                  <c:v>Making decisions on family planning</c:v>
                </c:pt>
                <c:pt idx="7">
                  <c:v>Free reproductive choices</c:v>
                </c:pt>
                <c:pt idx="8">
                  <c:v>Improved safety during pregnancy</c:v>
                </c:pt>
                <c:pt idx="9">
                  <c:v>Access to sexual information</c:v>
                </c:pt>
                <c:pt idx="10">
                  <c:v>Affordable SRH and services</c:v>
                </c:pt>
                <c:pt idx="11">
                  <c:v>Sexual and reproductive rights </c:v>
                </c:pt>
                <c:pt idx="12">
                  <c:v>Accessible SRH and services</c:v>
                </c:pt>
                <c:pt idx="13">
                  <c:v>Freedom from gender based violence</c:v>
                </c:pt>
              </c:strCache>
            </c:strRef>
          </c:cat>
          <c:val>
            <c:numRef>
              <c:f>Sheet1!$B$2:$B$15</c:f>
              <c:numCache>
                <c:formatCode>0%</c:formatCode>
                <c:ptCount val="14"/>
                <c:pt idx="0">
                  <c:v>0</c:v>
                </c:pt>
                <c:pt idx="1">
                  <c:v>0.01</c:v>
                </c:pt>
                <c:pt idx="2">
                  <c:v>0.02</c:v>
                </c:pt>
                <c:pt idx="3">
                  <c:v>0.02</c:v>
                </c:pt>
                <c:pt idx="4">
                  <c:v>0.04</c:v>
                </c:pt>
                <c:pt idx="5">
                  <c:v>0.05</c:v>
                </c:pt>
                <c:pt idx="6">
                  <c:v>7.0000000000000007E-2</c:v>
                </c:pt>
                <c:pt idx="7">
                  <c:v>0.08</c:v>
                </c:pt>
                <c:pt idx="8">
                  <c:v>0.08</c:v>
                </c:pt>
                <c:pt idx="9">
                  <c:v>0.09</c:v>
                </c:pt>
                <c:pt idx="10">
                  <c:v>0.1</c:v>
                </c:pt>
                <c:pt idx="11">
                  <c:v>0.13</c:v>
                </c:pt>
                <c:pt idx="12">
                  <c:v>0.22</c:v>
                </c:pt>
                <c:pt idx="13">
                  <c:v>0.23</c:v>
                </c:pt>
              </c:numCache>
            </c:numRef>
          </c:val>
        </c:ser>
        <c:dLbls>
          <c:dLblPos val="outEnd"/>
          <c:showLegendKey val="0"/>
          <c:showVal val="1"/>
          <c:showCatName val="0"/>
          <c:showSerName val="0"/>
          <c:showPercent val="0"/>
          <c:showBubbleSize val="0"/>
        </c:dLbls>
        <c:gapWidth val="100"/>
        <c:axId val="232852480"/>
        <c:axId val="232871808"/>
      </c:barChart>
      <c:catAx>
        <c:axId val="23285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32871808"/>
        <c:crosses val="autoZero"/>
        <c:auto val="1"/>
        <c:lblAlgn val="ctr"/>
        <c:lblOffset val="100"/>
        <c:noMultiLvlLbl val="0"/>
      </c:catAx>
      <c:valAx>
        <c:axId val="232871808"/>
        <c:scaling>
          <c:orientation val="minMax"/>
          <c:max val="0.2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5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mn-lt"/>
                <a:ea typeface="Tahoma" panose="020B0604030504040204" pitchFamily="34" charset="0"/>
                <a:cs typeface="Tahoma" panose="020B0604030504040204" pitchFamily="34" charset="0"/>
              </a:rPr>
              <a:t>Types of change</a:t>
            </a:r>
            <a:r>
              <a:rPr lang="en-US" b="1" baseline="0">
                <a:latin typeface="+mn-lt"/>
                <a:ea typeface="Tahoma" panose="020B0604030504040204" pitchFamily="34" charset="0"/>
                <a:cs typeface="Tahoma" panose="020B0604030504040204" pitchFamily="34" charset="0"/>
              </a:rPr>
              <a:t> </a:t>
            </a:r>
            <a:r>
              <a:rPr lang="en-US" b="1">
                <a:latin typeface="+mn-lt"/>
                <a:ea typeface="Tahoma" panose="020B0604030504040204" pitchFamily="34" charset="0"/>
                <a:cs typeface="Tahoma" panose="020B0604030504040204" pitchFamily="34" charset="0"/>
              </a:rPr>
              <a:t>taking place</a:t>
            </a:r>
            <a:r>
              <a:rPr lang="en-US" b="1" baseline="0">
                <a:latin typeface="+mn-lt"/>
                <a:ea typeface="Tahoma" panose="020B0604030504040204" pitchFamily="34" charset="0"/>
                <a:cs typeface="Tahoma" panose="020B0604030504040204" pitchFamily="34" charset="0"/>
              </a:rPr>
              <a:t> through SRHR initiatives </a:t>
            </a:r>
            <a:r>
              <a:rPr lang="en-US" b="1">
                <a:latin typeface="+mn-lt"/>
                <a:ea typeface="Tahoma" panose="020B0604030504040204" pitchFamily="34" charset="0"/>
                <a:cs typeface="Tahoma" panose="020B0604030504040204" pitchFamily="34" charset="0"/>
              </a:rPr>
              <a:t> </a:t>
            </a:r>
          </a:p>
        </c:rich>
      </c:tx>
      <c:layout>
        <c:manualLayout>
          <c:xMode val="edge"/>
          <c:yMode val="edge"/>
          <c:x val="7.4146933819064967E-2"/>
          <c:y val="2.199818909099244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Greater public awareness of the issue</c:v>
                </c:pt>
                <c:pt idx="1">
                  <c:v>Change of behaviour</c:v>
                </c:pt>
                <c:pt idx="2">
                  <c:v>Change of attitude; reduced stigma</c:v>
                </c:pt>
                <c:pt idx="3">
                  <c:v>Improved services</c:v>
                </c:pt>
                <c:pt idx="4">
                  <c:v>Change in policy, law or regulation</c:v>
                </c:pt>
              </c:strCache>
            </c:strRef>
          </c:cat>
          <c:val>
            <c:numRef>
              <c:f>Sheet1!$B$2:$B$6</c:f>
              <c:numCache>
                <c:formatCode>0%</c:formatCode>
                <c:ptCount val="5"/>
                <c:pt idx="0">
                  <c:v>0.18478260869565216</c:v>
                </c:pt>
                <c:pt idx="1">
                  <c:v>0.17391304347826086</c:v>
                </c:pt>
                <c:pt idx="2">
                  <c:v>0.11956521739130435</c:v>
                </c:pt>
                <c:pt idx="3">
                  <c:v>7.6086956521739135E-2</c:v>
                </c:pt>
                <c:pt idx="4">
                  <c:v>6.5217391304347824E-2</c:v>
                </c:pt>
              </c:numCache>
            </c:numRef>
          </c:val>
        </c:ser>
        <c:dLbls>
          <c:dLblPos val="outEnd"/>
          <c:showLegendKey val="0"/>
          <c:showVal val="1"/>
          <c:showCatName val="0"/>
          <c:showSerName val="0"/>
          <c:showPercent val="0"/>
          <c:showBubbleSize val="0"/>
        </c:dLbls>
        <c:gapWidth val="150"/>
        <c:axId val="366883584"/>
        <c:axId val="366886272"/>
      </c:barChart>
      <c:catAx>
        <c:axId val="366883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366886272"/>
        <c:crosses val="autoZero"/>
        <c:auto val="1"/>
        <c:lblAlgn val="ctr"/>
        <c:lblOffset val="100"/>
        <c:noMultiLvlLbl val="0"/>
      </c:catAx>
      <c:valAx>
        <c:axId val="366886272"/>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8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ahoma" panose="020B0604030504040204" pitchFamily="34" charset="0"/>
                <a:ea typeface="Tahoma" panose="020B0604030504040204" pitchFamily="34" charset="0"/>
                <a:cs typeface="Tahoma" panose="020B0604030504040204" pitchFamily="34" charset="0"/>
              </a:rPr>
              <a:t>Origin</a:t>
            </a:r>
            <a:r>
              <a:rPr lang="en-US" baseline="0">
                <a:latin typeface="Tahoma" panose="020B0604030504040204" pitchFamily="34" charset="0"/>
                <a:ea typeface="Tahoma" panose="020B0604030504040204" pitchFamily="34" charset="0"/>
                <a:cs typeface="Tahoma" panose="020B0604030504040204" pitchFamily="34" charset="0"/>
              </a:rPr>
              <a:t> of SRHR case studies at the 2015 summit</a:t>
            </a:r>
            <a:endParaRPr lang="en-US">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Zimbabwe</c:v>
                </c:pt>
                <c:pt idx="1">
                  <c:v>Madagascar</c:v>
                </c:pt>
                <c:pt idx="2">
                  <c:v>Botswana</c:v>
                </c:pt>
                <c:pt idx="3">
                  <c:v>South Africa</c:v>
                </c:pt>
                <c:pt idx="4">
                  <c:v>Mauritius</c:v>
                </c:pt>
                <c:pt idx="5">
                  <c:v>Swaziland</c:v>
                </c:pt>
                <c:pt idx="6">
                  <c:v>Namibia</c:v>
                </c:pt>
                <c:pt idx="7">
                  <c:v>Zambia</c:v>
                </c:pt>
                <c:pt idx="8">
                  <c:v>Lesotho</c:v>
                </c:pt>
                <c:pt idx="9">
                  <c:v>Mozambique</c:v>
                </c:pt>
                <c:pt idx="10">
                  <c:v>Malawi</c:v>
                </c:pt>
                <c:pt idx="11">
                  <c:v>Tanzania</c:v>
                </c:pt>
              </c:strCache>
            </c:strRef>
          </c:cat>
          <c:val>
            <c:numRef>
              <c:f>Sheet1!$B$2:$B$13</c:f>
              <c:numCache>
                <c:formatCode>General</c:formatCode>
                <c:ptCount val="12"/>
                <c:pt idx="0">
                  <c:v>25</c:v>
                </c:pt>
                <c:pt idx="1">
                  <c:v>21</c:v>
                </c:pt>
                <c:pt idx="2">
                  <c:v>8</c:v>
                </c:pt>
                <c:pt idx="3">
                  <c:v>8</c:v>
                </c:pt>
                <c:pt idx="4">
                  <c:v>7</c:v>
                </c:pt>
                <c:pt idx="5">
                  <c:v>6</c:v>
                </c:pt>
                <c:pt idx="6">
                  <c:v>5</c:v>
                </c:pt>
                <c:pt idx="7">
                  <c:v>5</c:v>
                </c:pt>
                <c:pt idx="8">
                  <c:v>3</c:v>
                </c:pt>
                <c:pt idx="9">
                  <c:v>3</c:v>
                </c:pt>
                <c:pt idx="10">
                  <c:v>2</c:v>
                </c:pt>
                <c:pt idx="11">
                  <c:v>1</c:v>
                </c:pt>
              </c:numCache>
            </c:numRef>
          </c:val>
        </c:ser>
        <c:dLbls>
          <c:dLblPos val="outEnd"/>
          <c:showLegendKey val="0"/>
          <c:showVal val="1"/>
          <c:showCatName val="0"/>
          <c:showSerName val="0"/>
          <c:showPercent val="0"/>
          <c:showBubbleSize val="0"/>
        </c:dLbls>
        <c:gapWidth val="100"/>
        <c:overlap val="-27"/>
        <c:axId val="239649920"/>
        <c:axId val="239656960"/>
      </c:barChart>
      <c:catAx>
        <c:axId val="239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39656960"/>
        <c:crosses val="autoZero"/>
        <c:auto val="1"/>
        <c:lblAlgn val="ctr"/>
        <c:lblOffset val="100"/>
        <c:noMultiLvlLbl val="0"/>
      </c:catAx>
      <c:valAx>
        <c:axId val="23965696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64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latin typeface="Tahoma" panose="020B0604030504040204" pitchFamily="34" charset="0"/>
                <a:ea typeface="Tahoma" panose="020B0604030504040204" pitchFamily="34" charset="0"/>
                <a:cs typeface="Tahoma" panose="020B0604030504040204" pitchFamily="34" charset="0"/>
              </a:rPr>
              <a:t> </a:t>
            </a:r>
            <a:r>
              <a:rPr lang="en-US" sz="1100" b="1">
                <a:latin typeface="Tahoma" panose="020B0604030504040204" pitchFamily="34" charset="0"/>
                <a:ea typeface="Tahoma" panose="020B0604030504040204" pitchFamily="34" charset="0"/>
                <a:cs typeface="Tahoma" panose="020B0604030504040204" pitchFamily="34" charset="0"/>
              </a:rPr>
              <a:t>Type of organisation</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Type of organisation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Local government</c:v>
                </c:pt>
                <c:pt idx="1">
                  <c:v>Community Based Organisation</c:v>
                </c:pt>
                <c:pt idx="2">
                  <c:v>Non-Governmental Organisation</c:v>
                </c:pt>
                <c:pt idx="3">
                  <c:v>Government department/ministry</c:v>
                </c:pt>
                <c:pt idx="4">
                  <c:v>Faith based Organisation </c:v>
                </c:pt>
              </c:strCache>
            </c:strRef>
          </c:cat>
          <c:val>
            <c:numRef>
              <c:f>Sheet1!$B$2:$B$6</c:f>
              <c:numCache>
                <c:formatCode>0%</c:formatCode>
                <c:ptCount val="5"/>
                <c:pt idx="0">
                  <c:v>0.27</c:v>
                </c:pt>
                <c:pt idx="1">
                  <c:v>0.18</c:v>
                </c:pt>
                <c:pt idx="2">
                  <c:v>0.13</c:v>
                </c:pt>
                <c:pt idx="3">
                  <c:v>7.0000000000000007E-2</c:v>
                </c:pt>
                <c:pt idx="4">
                  <c:v>2.4390243902439025E-2</c:v>
                </c:pt>
              </c:numCache>
            </c:numRef>
          </c:val>
        </c:ser>
        <c:dLbls>
          <c:dLblPos val="outEnd"/>
          <c:showLegendKey val="0"/>
          <c:showVal val="1"/>
          <c:showCatName val="0"/>
          <c:showSerName val="0"/>
          <c:showPercent val="0"/>
          <c:showBubbleSize val="0"/>
        </c:dLbls>
        <c:gapWidth val="100"/>
        <c:overlap val="-27"/>
        <c:axId val="236604416"/>
        <c:axId val="236611456"/>
      </c:barChart>
      <c:catAx>
        <c:axId val="23660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236611456"/>
        <c:crosses val="autoZero"/>
        <c:auto val="1"/>
        <c:lblAlgn val="ctr"/>
        <c:lblOffset val="100"/>
        <c:noMultiLvlLbl val="0"/>
      </c:catAx>
      <c:valAx>
        <c:axId val="236611456"/>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60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ZA" sz="1200">
                <a:latin typeface="+mn-lt"/>
                <a:ea typeface="Tahoma" panose="020B0604030504040204" pitchFamily="34" charset="0"/>
                <a:cs typeface="Tahoma" panose="020B0604030504040204" pitchFamily="34" charset="0"/>
              </a:rPr>
              <a:t>Target</a:t>
            </a:r>
            <a:r>
              <a:rPr lang="en-ZA" sz="1200" baseline="0">
                <a:latin typeface="+mn-lt"/>
                <a:ea typeface="Tahoma" panose="020B0604030504040204" pitchFamily="34" charset="0"/>
                <a:cs typeface="Tahoma" panose="020B0604030504040204" pitchFamily="34" charset="0"/>
              </a:rPr>
              <a:t> groups in the Summit Case Studies</a:t>
            </a:r>
            <a:endParaRPr lang="en-ZA" sz="1200">
              <a:latin typeface="+mn-lt"/>
              <a:ea typeface="Tahoma" panose="020B0604030504040204" pitchFamily="34" charset="0"/>
              <a:cs typeface="Tahoma" panose="020B0604030504040204"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905923344947737E-2"/>
          <c:y val="0.17156737055046525"/>
          <c:w val="0.55104447309939919"/>
          <c:h val="0.68262466580891268"/>
        </c:manualLayout>
      </c:layout>
      <c:pie3DChart>
        <c:varyColors val="1"/>
        <c:ser>
          <c:idx val="0"/>
          <c:order val="0"/>
          <c:explosion val="25"/>
          <c:dLbls>
            <c:dLblPos val="outEnd"/>
            <c:showLegendKey val="0"/>
            <c:showVal val="1"/>
            <c:showCatName val="0"/>
            <c:showSerName val="0"/>
            <c:showPercent val="0"/>
            <c:showBubbleSize val="0"/>
            <c:showLeaderLines val="1"/>
          </c:dLbls>
          <c:cat>
            <c:strRef>
              <c:f>'Target group'!$A$16:$A$19</c:f>
              <c:strCache>
                <c:ptCount val="4"/>
                <c:pt idx="0">
                  <c:v>Women </c:v>
                </c:pt>
                <c:pt idx="1">
                  <c:v>Men </c:v>
                </c:pt>
                <c:pt idx="2">
                  <c:v>Youth </c:v>
                </c:pt>
                <c:pt idx="3">
                  <c:v>Key populations: </c:v>
                </c:pt>
              </c:strCache>
            </c:strRef>
          </c:cat>
          <c:val>
            <c:numRef>
              <c:f>'Target group'!$B$16:$B$19</c:f>
              <c:numCache>
                <c:formatCode>0%</c:formatCode>
                <c:ptCount val="4"/>
                <c:pt idx="0">
                  <c:v>0.4</c:v>
                </c:pt>
                <c:pt idx="1">
                  <c:v>0.27</c:v>
                </c:pt>
                <c:pt idx="2">
                  <c:v>0.21</c:v>
                </c:pt>
                <c:pt idx="3">
                  <c:v>0.11504424778761062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555740898241379"/>
          <c:y val="0.17590946282203085"/>
          <c:w val="0.32351998683091443"/>
          <c:h val="0.5184119867157847"/>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2B562E-EFA4-4C53-A790-23E1DC15D48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ZA"/>
        </a:p>
      </dgm:t>
    </dgm:pt>
    <dgm:pt modelId="{2D077184-36C1-481A-BD4D-BA5015FB507B}">
      <dgm:prSet phldrT="[Text]" custT="1"/>
      <dgm:spPr>
        <a:xfrm>
          <a:off x="1725017" y="-60073"/>
          <a:ext cx="1157827" cy="75258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SADC Gender Protocol sets regional standards </a:t>
          </a:r>
        </a:p>
      </dgm:t>
    </dgm:pt>
    <dgm:pt modelId="{AA56FAE8-286F-4068-99E7-7F78E7A6C8DB}" type="parTrans" cxnId="{826AB228-88C6-4B4D-A4DA-91B3571DBD12}">
      <dgm:prSet/>
      <dgm:spPr/>
      <dgm:t>
        <a:bodyPr/>
        <a:lstStyle/>
        <a:p>
          <a:endParaRPr lang="en-ZA"/>
        </a:p>
      </dgm:t>
    </dgm:pt>
    <dgm:pt modelId="{66692D97-8F2D-4AAA-8A8D-1E6FDA985A9D}" type="sibTrans" cxnId="{826AB228-88C6-4B4D-A4DA-91B3571DBD12}">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A70DDA13-0C9E-4B43-B300-FD9D3A921861}">
      <dgm:prSet phldrT="[Text]" custT="1"/>
      <dgm:spPr>
        <a:xfrm>
          <a:off x="2867071" y="1117450"/>
          <a:ext cx="1358258" cy="8820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Countries and councils  champion targets at the  national and local  level</a:t>
          </a:r>
        </a:p>
      </dgm:t>
    </dgm:pt>
    <dgm:pt modelId="{D03A564E-3FD1-4BB5-813D-B065955D4AD1}" type="parTrans" cxnId="{9329AF66-92C1-4E26-9576-88ACD624C3B3}">
      <dgm:prSet/>
      <dgm:spPr/>
      <dgm:t>
        <a:bodyPr/>
        <a:lstStyle/>
        <a:p>
          <a:endParaRPr lang="en-ZA"/>
        </a:p>
      </dgm:t>
    </dgm:pt>
    <dgm:pt modelId="{8C3966F1-2611-4E93-BA4D-1AD237554551}" type="sibTrans" cxnId="{9329AF66-92C1-4E26-9576-88ACD624C3B3}">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73F9DE80-394B-44AC-AFAE-783150E5B6A4}">
      <dgm:prSet phldrT="[Text]" custT="1"/>
      <dgm:spPr>
        <a:xfrm>
          <a:off x="1549421" y="2302945"/>
          <a:ext cx="1509019" cy="99562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200">
              <a:solidFill>
                <a:sysClr val="window" lastClr="FFFFFF"/>
              </a:solidFill>
              <a:latin typeface="Calibri" panose="020F0502020204030204"/>
              <a:ea typeface="+mn-ea"/>
              <a:cs typeface="+mn-cs"/>
            </a:rPr>
            <a:t>Good practices gathered  and shared at district, national and regional  summits </a:t>
          </a:r>
        </a:p>
      </dgm:t>
    </dgm:pt>
    <dgm:pt modelId="{EE08A136-8EC1-4E66-A994-6E13E9F30726}" type="parTrans" cxnId="{60028DAC-E55C-4985-A063-DE10F31055F1}">
      <dgm:prSet/>
      <dgm:spPr/>
      <dgm:t>
        <a:bodyPr/>
        <a:lstStyle/>
        <a:p>
          <a:endParaRPr lang="en-ZA"/>
        </a:p>
      </dgm:t>
    </dgm:pt>
    <dgm:pt modelId="{EC8A4517-6B24-49AC-A26A-D379200E19BE}" type="sibTrans" cxnId="{60028DAC-E55C-4985-A063-DE10F31055F1}">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200555DA-29A5-4947-BE6B-B0E3DA24B3BD}">
      <dgm:prSet phldrT="[Text]" custT="1"/>
      <dgm:spPr>
        <a:xfrm>
          <a:off x="308569" y="1008306"/>
          <a:ext cx="1506182" cy="110036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Case studies analysed in the SADC Barometer, used to lobby  for stronger provisions </a:t>
          </a:r>
        </a:p>
      </dgm:t>
    </dgm:pt>
    <dgm:pt modelId="{CA33232E-A806-4B76-B52D-2229B07E10F1}" type="parTrans" cxnId="{D1697012-3662-40BE-A85A-A43F75611198}">
      <dgm:prSet/>
      <dgm:spPr/>
      <dgm:t>
        <a:bodyPr/>
        <a:lstStyle/>
        <a:p>
          <a:endParaRPr lang="en-ZA"/>
        </a:p>
      </dgm:t>
    </dgm:pt>
    <dgm:pt modelId="{C66C1A0E-865A-44B8-9BA1-6BB7749CDF99}" type="sibTrans" cxnId="{D1697012-3662-40BE-A85A-A43F75611198}">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C39A5FC6-7B4A-4A6B-99D0-61F12DF2AFE7}" type="pres">
      <dgm:prSet presAssocID="{512B562E-EFA4-4C53-A790-23E1DC15D486}" presName="cycle" presStyleCnt="0">
        <dgm:presLayoutVars>
          <dgm:dir/>
          <dgm:resizeHandles val="exact"/>
        </dgm:presLayoutVars>
      </dgm:prSet>
      <dgm:spPr/>
      <dgm:t>
        <a:bodyPr/>
        <a:lstStyle/>
        <a:p>
          <a:endParaRPr lang="en-ZA"/>
        </a:p>
      </dgm:t>
    </dgm:pt>
    <dgm:pt modelId="{6B5A755F-1BBE-4ED5-B7FE-AD3510DAD437}" type="pres">
      <dgm:prSet presAssocID="{2D077184-36C1-481A-BD4D-BA5015FB507B}" presName="node" presStyleLbl="node1" presStyleIdx="0" presStyleCnt="4">
        <dgm:presLayoutVars>
          <dgm:bulletEnabled val="1"/>
        </dgm:presLayoutVars>
      </dgm:prSet>
      <dgm:spPr>
        <a:prstGeom prst="roundRect">
          <a:avLst/>
        </a:prstGeom>
      </dgm:spPr>
      <dgm:t>
        <a:bodyPr/>
        <a:lstStyle/>
        <a:p>
          <a:endParaRPr lang="en-ZA"/>
        </a:p>
      </dgm:t>
    </dgm:pt>
    <dgm:pt modelId="{4E19A549-D7F6-44FB-8656-8E870365988A}" type="pres">
      <dgm:prSet presAssocID="{2D077184-36C1-481A-BD4D-BA5015FB507B}" presName="spNode" presStyleCnt="0"/>
      <dgm:spPr/>
    </dgm:pt>
    <dgm:pt modelId="{8708D5D4-134E-4676-B64F-964B0DA536BD}" type="pres">
      <dgm:prSet presAssocID="{66692D97-8F2D-4AAA-8A8D-1E6FDA985A9D}" presName="sibTrans" presStyleLbl="sibTrans1D1" presStyleIdx="0" presStyleCnt="4"/>
      <dgm:spPr>
        <a:custGeom>
          <a:avLst/>
          <a:gdLst/>
          <a:ahLst/>
          <a:cxnLst/>
          <a:rect l="0" t="0" r="0" b="0"/>
          <a:pathLst>
            <a:path>
              <a:moveTo>
                <a:pt x="1814218" y="216692"/>
              </a:moveTo>
              <a:arcTo wR="1144199" hR="1144199" stAng="18350629" swAng="1516634"/>
            </a:path>
          </a:pathLst>
        </a:custGeom>
      </dgm:spPr>
      <dgm:t>
        <a:bodyPr/>
        <a:lstStyle/>
        <a:p>
          <a:endParaRPr lang="en-ZA"/>
        </a:p>
      </dgm:t>
    </dgm:pt>
    <dgm:pt modelId="{F1A35E3E-60E6-4D1F-9C4E-E1AD788FC705}" type="pres">
      <dgm:prSet presAssocID="{A70DDA13-0C9E-4B43-B300-FD9D3A921861}" presName="node" presStyleLbl="node1" presStyleIdx="1" presStyleCnt="4" custScaleX="117311" custScaleY="117206">
        <dgm:presLayoutVars>
          <dgm:bulletEnabled val="1"/>
        </dgm:presLayoutVars>
      </dgm:prSet>
      <dgm:spPr>
        <a:prstGeom prst="roundRect">
          <a:avLst/>
        </a:prstGeom>
      </dgm:spPr>
      <dgm:t>
        <a:bodyPr/>
        <a:lstStyle/>
        <a:p>
          <a:endParaRPr lang="en-ZA"/>
        </a:p>
      </dgm:t>
    </dgm:pt>
    <dgm:pt modelId="{0C0D856E-2496-4EAC-87F9-E2C239C545B4}" type="pres">
      <dgm:prSet presAssocID="{A70DDA13-0C9E-4B43-B300-FD9D3A921861}" presName="spNode" presStyleCnt="0"/>
      <dgm:spPr/>
    </dgm:pt>
    <dgm:pt modelId="{280D7640-54A7-4FF8-9FEB-1DCF8EC891A8}" type="pres">
      <dgm:prSet presAssocID="{8C3966F1-2611-4E93-BA4D-1AD237554551}" presName="sibTrans" presStyleLbl="sibTrans1D1" presStyleIdx="1" presStyleCnt="4"/>
      <dgm:spPr>
        <a:custGeom>
          <a:avLst/>
          <a:gdLst/>
          <a:ahLst/>
          <a:cxnLst/>
          <a:rect l="0" t="0" r="0" b="0"/>
          <a:pathLst>
            <a:path>
              <a:moveTo>
                <a:pt x="2163166" y="1664681"/>
              </a:moveTo>
              <a:arcTo wR="1144199" hR="1144199" stAng="1623460" swAng="1159321"/>
            </a:path>
          </a:pathLst>
        </a:custGeom>
      </dgm:spPr>
      <dgm:t>
        <a:bodyPr/>
        <a:lstStyle/>
        <a:p>
          <a:endParaRPr lang="en-ZA"/>
        </a:p>
      </dgm:t>
    </dgm:pt>
    <dgm:pt modelId="{80B6A837-F8FA-4BBD-8B1B-10D260A64FCD}" type="pres">
      <dgm:prSet presAssocID="{73F9DE80-394B-44AC-AFAE-783150E5B6A4}" presName="node" presStyleLbl="node1" presStyleIdx="2" presStyleCnt="4" custScaleX="130332" custScaleY="132294">
        <dgm:presLayoutVars>
          <dgm:bulletEnabled val="1"/>
        </dgm:presLayoutVars>
      </dgm:prSet>
      <dgm:spPr>
        <a:prstGeom prst="roundRect">
          <a:avLst/>
        </a:prstGeom>
      </dgm:spPr>
      <dgm:t>
        <a:bodyPr/>
        <a:lstStyle/>
        <a:p>
          <a:endParaRPr lang="en-ZA"/>
        </a:p>
      </dgm:t>
    </dgm:pt>
    <dgm:pt modelId="{F2073EA2-0BB0-4275-927E-C0ADB1C28536}" type="pres">
      <dgm:prSet presAssocID="{73F9DE80-394B-44AC-AFAE-783150E5B6A4}" presName="spNode" presStyleCnt="0"/>
      <dgm:spPr/>
    </dgm:pt>
    <dgm:pt modelId="{F965AC39-96D1-42C1-8F40-8DB7403C2A17}" type="pres">
      <dgm:prSet presAssocID="{EC8A4517-6B24-49AC-A26A-D379200E19BE}" presName="sibTrans" presStyleLbl="sibTrans1D1" presStyleIdx="2" presStyleCnt="4"/>
      <dgm:spPr>
        <a:custGeom>
          <a:avLst/>
          <a:gdLst/>
          <a:ahLst/>
          <a:cxnLst/>
          <a:rect l="0" t="0" r="0" b="0"/>
          <a:pathLst>
            <a:path>
              <a:moveTo>
                <a:pt x="370312" y="1986987"/>
              </a:moveTo>
              <a:arcTo wR="1144199" hR="1144199" stAng="7953578" swAng="957758"/>
            </a:path>
          </a:pathLst>
        </a:custGeom>
      </dgm:spPr>
      <dgm:t>
        <a:bodyPr/>
        <a:lstStyle/>
        <a:p>
          <a:endParaRPr lang="en-ZA"/>
        </a:p>
      </dgm:t>
    </dgm:pt>
    <dgm:pt modelId="{3C65BE0E-815E-4180-9C0A-D40C60AFEB36}" type="pres">
      <dgm:prSet presAssocID="{200555DA-29A5-4947-BE6B-B0E3DA24B3BD}" presName="node" presStyleLbl="node1" presStyleIdx="3" presStyleCnt="4" custScaleX="130087" custScaleY="146211">
        <dgm:presLayoutVars>
          <dgm:bulletEnabled val="1"/>
        </dgm:presLayoutVars>
      </dgm:prSet>
      <dgm:spPr>
        <a:prstGeom prst="roundRect">
          <a:avLst/>
        </a:prstGeom>
      </dgm:spPr>
      <dgm:t>
        <a:bodyPr/>
        <a:lstStyle/>
        <a:p>
          <a:endParaRPr lang="en-ZA"/>
        </a:p>
      </dgm:t>
    </dgm:pt>
    <dgm:pt modelId="{E9267B2F-07BF-443E-8D4F-710C5EAE3DB7}" type="pres">
      <dgm:prSet presAssocID="{200555DA-29A5-4947-BE6B-B0E3DA24B3BD}" presName="spNode" presStyleCnt="0"/>
      <dgm:spPr/>
    </dgm:pt>
    <dgm:pt modelId="{6C896F70-5E5E-4874-A039-F7B21756E615}" type="pres">
      <dgm:prSet presAssocID="{C66C1A0E-865A-44B8-9BA1-6BB7749CDF99}" presName="sibTrans" presStyleLbl="sibTrans1D1" presStyleIdx="3" presStyleCnt="4"/>
      <dgm:spPr>
        <a:custGeom>
          <a:avLst/>
          <a:gdLst/>
          <a:ahLst/>
          <a:cxnLst/>
          <a:rect l="0" t="0" r="0" b="0"/>
          <a:pathLst>
            <a:path>
              <a:moveTo>
                <a:pt x="188152" y="515577"/>
              </a:moveTo>
              <a:arcTo wR="1144199" hR="1144199" stAng="12799549" swAng="1311853"/>
            </a:path>
          </a:pathLst>
        </a:custGeom>
      </dgm:spPr>
      <dgm:t>
        <a:bodyPr/>
        <a:lstStyle/>
        <a:p>
          <a:endParaRPr lang="en-ZA"/>
        </a:p>
      </dgm:t>
    </dgm:pt>
  </dgm:ptLst>
  <dgm:cxnLst>
    <dgm:cxn modelId="{D1697012-3662-40BE-A85A-A43F75611198}" srcId="{512B562E-EFA4-4C53-A790-23E1DC15D486}" destId="{200555DA-29A5-4947-BE6B-B0E3DA24B3BD}" srcOrd="3" destOrd="0" parTransId="{CA33232E-A806-4B76-B52D-2229B07E10F1}" sibTransId="{C66C1A0E-865A-44B8-9BA1-6BB7749CDF99}"/>
    <dgm:cxn modelId="{74907E8B-DFFC-4721-913B-77211D9C872C}" type="presOf" srcId="{EC8A4517-6B24-49AC-A26A-D379200E19BE}" destId="{F965AC39-96D1-42C1-8F40-8DB7403C2A17}" srcOrd="0" destOrd="0" presId="urn:microsoft.com/office/officeart/2005/8/layout/cycle5"/>
    <dgm:cxn modelId="{B518C323-ED61-4EDA-84BE-4E6BBC993572}" type="presOf" srcId="{C66C1A0E-865A-44B8-9BA1-6BB7749CDF99}" destId="{6C896F70-5E5E-4874-A039-F7B21756E615}" srcOrd="0" destOrd="0" presId="urn:microsoft.com/office/officeart/2005/8/layout/cycle5"/>
    <dgm:cxn modelId="{826AB228-88C6-4B4D-A4DA-91B3571DBD12}" srcId="{512B562E-EFA4-4C53-A790-23E1DC15D486}" destId="{2D077184-36C1-481A-BD4D-BA5015FB507B}" srcOrd="0" destOrd="0" parTransId="{AA56FAE8-286F-4068-99E7-7F78E7A6C8DB}" sibTransId="{66692D97-8F2D-4AAA-8A8D-1E6FDA985A9D}"/>
    <dgm:cxn modelId="{C103BBCA-56AE-478E-9F2C-D286AEF629B2}" type="presOf" srcId="{200555DA-29A5-4947-BE6B-B0E3DA24B3BD}" destId="{3C65BE0E-815E-4180-9C0A-D40C60AFEB36}" srcOrd="0" destOrd="0" presId="urn:microsoft.com/office/officeart/2005/8/layout/cycle5"/>
    <dgm:cxn modelId="{9C417A5C-2307-46F6-A22C-B9D46DE21B96}" type="presOf" srcId="{73F9DE80-394B-44AC-AFAE-783150E5B6A4}" destId="{80B6A837-F8FA-4BBD-8B1B-10D260A64FCD}" srcOrd="0" destOrd="0" presId="urn:microsoft.com/office/officeart/2005/8/layout/cycle5"/>
    <dgm:cxn modelId="{EE2AE094-EDAF-42EC-8627-13EFE9CA7A5D}" type="presOf" srcId="{66692D97-8F2D-4AAA-8A8D-1E6FDA985A9D}" destId="{8708D5D4-134E-4676-B64F-964B0DA536BD}" srcOrd="0" destOrd="0" presId="urn:microsoft.com/office/officeart/2005/8/layout/cycle5"/>
    <dgm:cxn modelId="{9329AF66-92C1-4E26-9576-88ACD624C3B3}" srcId="{512B562E-EFA4-4C53-A790-23E1DC15D486}" destId="{A70DDA13-0C9E-4B43-B300-FD9D3A921861}" srcOrd="1" destOrd="0" parTransId="{D03A564E-3FD1-4BB5-813D-B065955D4AD1}" sibTransId="{8C3966F1-2611-4E93-BA4D-1AD237554551}"/>
    <dgm:cxn modelId="{C9C879DC-F632-4AE2-AD62-0B03891772B8}" type="presOf" srcId="{2D077184-36C1-481A-BD4D-BA5015FB507B}" destId="{6B5A755F-1BBE-4ED5-B7FE-AD3510DAD437}" srcOrd="0" destOrd="0" presId="urn:microsoft.com/office/officeart/2005/8/layout/cycle5"/>
    <dgm:cxn modelId="{60028DAC-E55C-4985-A063-DE10F31055F1}" srcId="{512B562E-EFA4-4C53-A790-23E1DC15D486}" destId="{73F9DE80-394B-44AC-AFAE-783150E5B6A4}" srcOrd="2" destOrd="0" parTransId="{EE08A136-8EC1-4E66-A994-6E13E9F30726}" sibTransId="{EC8A4517-6B24-49AC-A26A-D379200E19BE}"/>
    <dgm:cxn modelId="{573936B5-40E9-4B25-9A13-FDDF8878D482}" type="presOf" srcId="{A70DDA13-0C9E-4B43-B300-FD9D3A921861}" destId="{F1A35E3E-60E6-4D1F-9C4E-E1AD788FC705}" srcOrd="0" destOrd="0" presId="urn:microsoft.com/office/officeart/2005/8/layout/cycle5"/>
    <dgm:cxn modelId="{98BE2358-47EB-48FB-B953-DB9406019E94}" type="presOf" srcId="{512B562E-EFA4-4C53-A790-23E1DC15D486}" destId="{C39A5FC6-7B4A-4A6B-99D0-61F12DF2AFE7}" srcOrd="0" destOrd="0" presId="urn:microsoft.com/office/officeart/2005/8/layout/cycle5"/>
    <dgm:cxn modelId="{5BCEACF6-4ADF-4475-ADEA-53F59257B012}" type="presOf" srcId="{8C3966F1-2611-4E93-BA4D-1AD237554551}" destId="{280D7640-54A7-4FF8-9FEB-1DCF8EC891A8}" srcOrd="0" destOrd="0" presId="urn:microsoft.com/office/officeart/2005/8/layout/cycle5"/>
    <dgm:cxn modelId="{1328A171-361B-4D8C-B436-9A39D65B1882}" type="presParOf" srcId="{C39A5FC6-7B4A-4A6B-99D0-61F12DF2AFE7}" destId="{6B5A755F-1BBE-4ED5-B7FE-AD3510DAD437}" srcOrd="0" destOrd="0" presId="urn:microsoft.com/office/officeart/2005/8/layout/cycle5"/>
    <dgm:cxn modelId="{3FC0295B-AA61-4907-979F-F46217B0C44C}" type="presParOf" srcId="{C39A5FC6-7B4A-4A6B-99D0-61F12DF2AFE7}" destId="{4E19A549-D7F6-44FB-8656-8E870365988A}" srcOrd="1" destOrd="0" presId="urn:microsoft.com/office/officeart/2005/8/layout/cycle5"/>
    <dgm:cxn modelId="{9628A43F-65D8-43F0-917E-F7D409F7D36C}" type="presParOf" srcId="{C39A5FC6-7B4A-4A6B-99D0-61F12DF2AFE7}" destId="{8708D5D4-134E-4676-B64F-964B0DA536BD}" srcOrd="2" destOrd="0" presId="urn:microsoft.com/office/officeart/2005/8/layout/cycle5"/>
    <dgm:cxn modelId="{CD3E947E-A274-44B1-B128-03621DCD8213}" type="presParOf" srcId="{C39A5FC6-7B4A-4A6B-99D0-61F12DF2AFE7}" destId="{F1A35E3E-60E6-4D1F-9C4E-E1AD788FC705}" srcOrd="3" destOrd="0" presId="urn:microsoft.com/office/officeart/2005/8/layout/cycle5"/>
    <dgm:cxn modelId="{A7E6C015-DF1E-491B-B781-7AD0B3CCD302}" type="presParOf" srcId="{C39A5FC6-7B4A-4A6B-99D0-61F12DF2AFE7}" destId="{0C0D856E-2496-4EAC-87F9-E2C239C545B4}" srcOrd="4" destOrd="0" presId="urn:microsoft.com/office/officeart/2005/8/layout/cycle5"/>
    <dgm:cxn modelId="{BE84F3EE-6608-4D95-9A83-4DF4C5B04299}" type="presParOf" srcId="{C39A5FC6-7B4A-4A6B-99D0-61F12DF2AFE7}" destId="{280D7640-54A7-4FF8-9FEB-1DCF8EC891A8}" srcOrd="5" destOrd="0" presId="urn:microsoft.com/office/officeart/2005/8/layout/cycle5"/>
    <dgm:cxn modelId="{799B4ABD-2B80-464E-A44F-63214088B18B}" type="presParOf" srcId="{C39A5FC6-7B4A-4A6B-99D0-61F12DF2AFE7}" destId="{80B6A837-F8FA-4BBD-8B1B-10D260A64FCD}" srcOrd="6" destOrd="0" presId="urn:microsoft.com/office/officeart/2005/8/layout/cycle5"/>
    <dgm:cxn modelId="{55388928-B89F-4E44-A262-E255A3B0737F}" type="presParOf" srcId="{C39A5FC6-7B4A-4A6B-99D0-61F12DF2AFE7}" destId="{F2073EA2-0BB0-4275-927E-C0ADB1C28536}" srcOrd="7" destOrd="0" presId="urn:microsoft.com/office/officeart/2005/8/layout/cycle5"/>
    <dgm:cxn modelId="{1AD745B0-4C28-429B-9900-707BA31884CF}" type="presParOf" srcId="{C39A5FC6-7B4A-4A6B-99D0-61F12DF2AFE7}" destId="{F965AC39-96D1-42C1-8F40-8DB7403C2A17}" srcOrd="8" destOrd="0" presId="urn:microsoft.com/office/officeart/2005/8/layout/cycle5"/>
    <dgm:cxn modelId="{E71392F4-321C-45D0-B2ED-414BF6667DD8}" type="presParOf" srcId="{C39A5FC6-7B4A-4A6B-99D0-61F12DF2AFE7}" destId="{3C65BE0E-815E-4180-9C0A-D40C60AFEB36}" srcOrd="9" destOrd="0" presId="urn:microsoft.com/office/officeart/2005/8/layout/cycle5"/>
    <dgm:cxn modelId="{4DA6559D-0799-49E8-91C9-2E467346F643}" type="presParOf" srcId="{C39A5FC6-7B4A-4A6B-99D0-61F12DF2AFE7}" destId="{E9267B2F-07BF-443E-8D4F-710C5EAE3DB7}" srcOrd="10" destOrd="0" presId="urn:microsoft.com/office/officeart/2005/8/layout/cycle5"/>
    <dgm:cxn modelId="{ADF18EF7-065F-402F-8DF1-1FDEAF243263}" type="presParOf" srcId="{C39A5FC6-7B4A-4A6B-99D0-61F12DF2AFE7}" destId="{6C896F70-5E5E-4874-A039-F7B21756E615}" srcOrd="11"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2B562E-EFA4-4C53-A790-23E1DC15D48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ZA"/>
        </a:p>
      </dgm:t>
    </dgm:pt>
    <dgm:pt modelId="{2D077184-36C1-481A-BD4D-BA5015FB507B}">
      <dgm:prSet phldrT="[Text]" custT="1"/>
      <dgm:spPr>
        <a:xfrm>
          <a:off x="1725017" y="-60073"/>
          <a:ext cx="1157827" cy="75258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SADC Gender Protocol sets regional standards </a:t>
          </a:r>
        </a:p>
      </dgm:t>
    </dgm:pt>
    <dgm:pt modelId="{AA56FAE8-286F-4068-99E7-7F78E7A6C8DB}" type="parTrans" cxnId="{826AB228-88C6-4B4D-A4DA-91B3571DBD12}">
      <dgm:prSet/>
      <dgm:spPr/>
      <dgm:t>
        <a:bodyPr/>
        <a:lstStyle/>
        <a:p>
          <a:endParaRPr lang="en-ZA"/>
        </a:p>
      </dgm:t>
    </dgm:pt>
    <dgm:pt modelId="{66692D97-8F2D-4AAA-8A8D-1E6FDA985A9D}" type="sibTrans" cxnId="{826AB228-88C6-4B4D-A4DA-91B3571DBD12}">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A70DDA13-0C9E-4B43-B300-FD9D3A921861}">
      <dgm:prSet phldrT="[Text]" custT="1"/>
      <dgm:spPr>
        <a:xfrm>
          <a:off x="2867071" y="1117450"/>
          <a:ext cx="1358258" cy="8820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Countries and councils  champion targets at the  national and local  level</a:t>
          </a:r>
        </a:p>
      </dgm:t>
    </dgm:pt>
    <dgm:pt modelId="{D03A564E-3FD1-4BB5-813D-B065955D4AD1}" type="parTrans" cxnId="{9329AF66-92C1-4E26-9576-88ACD624C3B3}">
      <dgm:prSet/>
      <dgm:spPr/>
      <dgm:t>
        <a:bodyPr/>
        <a:lstStyle/>
        <a:p>
          <a:endParaRPr lang="en-ZA"/>
        </a:p>
      </dgm:t>
    </dgm:pt>
    <dgm:pt modelId="{8C3966F1-2611-4E93-BA4D-1AD237554551}" type="sibTrans" cxnId="{9329AF66-92C1-4E26-9576-88ACD624C3B3}">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73F9DE80-394B-44AC-AFAE-783150E5B6A4}">
      <dgm:prSet phldrT="[Text]" custT="1"/>
      <dgm:spPr>
        <a:xfrm>
          <a:off x="1549421" y="2302945"/>
          <a:ext cx="1509019" cy="99562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200">
              <a:solidFill>
                <a:sysClr val="window" lastClr="FFFFFF"/>
              </a:solidFill>
              <a:latin typeface="Calibri" panose="020F0502020204030204"/>
              <a:ea typeface="+mn-ea"/>
              <a:cs typeface="+mn-cs"/>
            </a:rPr>
            <a:t>Good practices gathered  and shared at district, national and regional  summits </a:t>
          </a:r>
        </a:p>
      </dgm:t>
    </dgm:pt>
    <dgm:pt modelId="{EE08A136-8EC1-4E66-A994-6E13E9F30726}" type="parTrans" cxnId="{60028DAC-E55C-4985-A063-DE10F31055F1}">
      <dgm:prSet/>
      <dgm:spPr/>
      <dgm:t>
        <a:bodyPr/>
        <a:lstStyle/>
        <a:p>
          <a:endParaRPr lang="en-ZA"/>
        </a:p>
      </dgm:t>
    </dgm:pt>
    <dgm:pt modelId="{EC8A4517-6B24-49AC-A26A-D379200E19BE}" type="sibTrans" cxnId="{60028DAC-E55C-4985-A063-DE10F31055F1}">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200555DA-29A5-4947-BE6B-B0E3DA24B3BD}">
      <dgm:prSet phldrT="[Text]" custT="1"/>
      <dgm:spPr>
        <a:xfrm>
          <a:off x="308569" y="1008306"/>
          <a:ext cx="1506182" cy="110036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ZA" sz="1100">
              <a:solidFill>
                <a:sysClr val="window" lastClr="FFFFFF"/>
              </a:solidFill>
              <a:latin typeface="Calibri" panose="020F0502020204030204"/>
              <a:ea typeface="+mn-ea"/>
              <a:cs typeface="+mn-cs"/>
            </a:rPr>
            <a:t>Case studies analysed in the SADC Barometer, used to lobby  for stronger provisions </a:t>
          </a:r>
        </a:p>
      </dgm:t>
    </dgm:pt>
    <dgm:pt modelId="{CA33232E-A806-4B76-B52D-2229B07E10F1}" type="parTrans" cxnId="{D1697012-3662-40BE-A85A-A43F75611198}">
      <dgm:prSet/>
      <dgm:spPr/>
      <dgm:t>
        <a:bodyPr/>
        <a:lstStyle/>
        <a:p>
          <a:endParaRPr lang="en-ZA"/>
        </a:p>
      </dgm:t>
    </dgm:pt>
    <dgm:pt modelId="{C66C1A0E-865A-44B8-9BA1-6BB7749CDF99}" type="sibTrans" cxnId="{D1697012-3662-40BE-A85A-A43F75611198}">
      <dgm:prSet/>
      <dgm:spPr>
        <a:xfrm>
          <a:off x="1061660" y="316219"/>
          <a:ext cx="2484540" cy="2484540"/>
        </a:xfrm>
        <a:noFill/>
        <a:ln w="6350" cap="flat" cmpd="sng" algn="ctr">
          <a:solidFill>
            <a:srgbClr val="5B9BD5">
              <a:hueOff val="0"/>
              <a:satOff val="0"/>
              <a:lumOff val="0"/>
              <a:alphaOff val="0"/>
            </a:srgbClr>
          </a:solidFill>
          <a:prstDash val="solid"/>
          <a:miter lim="800000"/>
          <a:tailEnd type="arrow"/>
        </a:ln>
        <a:effectLst/>
      </dgm:spPr>
      <dgm:t>
        <a:bodyPr/>
        <a:lstStyle/>
        <a:p>
          <a:endParaRPr lang="en-ZA"/>
        </a:p>
      </dgm:t>
    </dgm:pt>
    <dgm:pt modelId="{C39A5FC6-7B4A-4A6B-99D0-61F12DF2AFE7}" type="pres">
      <dgm:prSet presAssocID="{512B562E-EFA4-4C53-A790-23E1DC15D486}" presName="cycle" presStyleCnt="0">
        <dgm:presLayoutVars>
          <dgm:dir/>
          <dgm:resizeHandles val="exact"/>
        </dgm:presLayoutVars>
      </dgm:prSet>
      <dgm:spPr/>
      <dgm:t>
        <a:bodyPr/>
        <a:lstStyle/>
        <a:p>
          <a:endParaRPr lang="en-ZA"/>
        </a:p>
      </dgm:t>
    </dgm:pt>
    <dgm:pt modelId="{6B5A755F-1BBE-4ED5-B7FE-AD3510DAD437}" type="pres">
      <dgm:prSet presAssocID="{2D077184-36C1-481A-BD4D-BA5015FB507B}" presName="node" presStyleLbl="node1" presStyleIdx="0" presStyleCnt="4">
        <dgm:presLayoutVars>
          <dgm:bulletEnabled val="1"/>
        </dgm:presLayoutVars>
      </dgm:prSet>
      <dgm:spPr>
        <a:prstGeom prst="roundRect">
          <a:avLst/>
        </a:prstGeom>
      </dgm:spPr>
      <dgm:t>
        <a:bodyPr/>
        <a:lstStyle/>
        <a:p>
          <a:endParaRPr lang="en-ZA"/>
        </a:p>
      </dgm:t>
    </dgm:pt>
    <dgm:pt modelId="{4E19A549-D7F6-44FB-8656-8E870365988A}" type="pres">
      <dgm:prSet presAssocID="{2D077184-36C1-481A-BD4D-BA5015FB507B}" presName="spNode" presStyleCnt="0"/>
      <dgm:spPr/>
    </dgm:pt>
    <dgm:pt modelId="{8708D5D4-134E-4676-B64F-964B0DA536BD}" type="pres">
      <dgm:prSet presAssocID="{66692D97-8F2D-4AAA-8A8D-1E6FDA985A9D}" presName="sibTrans" presStyleLbl="sibTrans1D1" presStyleIdx="0" presStyleCnt="4"/>
      <dgm:spPr>
        <a:custGeom>
          <a:avLst/>
          <a:gdLst/>
          <a:ahLst/>
          <a:cxnLst/>
          <a:rect l="0" t="0" r="0" b="0"/>
          <a:pathLst>
            <a:path>
              <a:moveTo>
                <a:pt x="1814218" y="216692"/>
              </a:moveTo>
              <a:arcTo wR="1144199" hR="1144199" stAng="18350629" swAng="1516634"/>
            </a:path>
          </a:pathLst>
        </a:custGeom>
      </dgm:spPr>
      <dgm:t>
        <a:bodyPr/>
        <a:lstStyle/>
        <a:p>
          <a:endParaRPr lang="en-ZA"/>
        </a:p>
      </dgm:t>
    </dgm:pt>
    <dgm:pt modelId="{F1A35E3E-60E6-4D1F-9C4E-E1AD788FC705}" type="pres">
      <dgm:prSet presAssocID="{A70DDA13-0C9E-4B43-B300-FD9D3A921861}" presName="node" presStyleLbl="node1" presStyleIdx="1" presStyleCnt="4" custScaleX="117311" custScaleY="117206">
        <dgm:presLayoutVars>
          <dgm:bulletEnabled val="1"/>
        </dgm:presLayoutVars>
      </dgm:prSet>
      <dgm:spPr>
        <a:prstGeom prst="roundRect">
          <a:avLst/>
        </a:prstGeom>
      </dgm:spPr>
      <dgm:t>
        <a:bodyPr/>
        <a:lstStyle/>
        <a:p>
          <a:endParaRPr lang="en-ZA"/>
        </a:p>
      </dgm:t>
    </dgm:pt>
    <dgm:pt modelId="{0C0D856E-2496-4EAC-87F9-E2C239C545B4}" type="pres">
      <dgm:prSet presAssocID="{A70DDA13-0C9E-4B43-B300-FD9D3A921861}" presName="spNode" presStyleCnt="0"/>
      <dgm:spPr/>
    </dgm:pt>
    <dgm:pt modelId="{280D7640-54A7-4FF8-9FEB-1DCF8EC891A8}" type="pres">
      <dgm:prSet presAssocID="{8C3966F1-2611-4E93-BA4D-1AD237554551}" presName="sibTrans" presStyleLbl="sibTrans1D1" presStyleIdx="1" presStyleCnt="4"/>
      <dgm:spPr>
        <a:custGeom>
          <a:avLst/>
          <a:gdLst/>
          <a:ahLst/>
          <a:cxnLst/>
          <a:rect l="0" t="0" r="0" b="0"/>
          <a:pathLst>
            <a:path>
              <a:moveTo>
                <a:pt x="2163166" y="1664681"/>
              </a:moveTo>
              <a:arcTo wR="1144199" hR="1144199" stAng="1623460" swAng="1159321"/>
            </a:path>
          </a:pathLst>
        </a:custGeom>
      </dgm:spPr>
      <dgm:t>
        <a:bodyPr/>
        <a:lstStyle/>
        <a:p>
          <a:endParaRPr lang="en-ZA"/>
        </a:p>
      </dgm:t>
    </dgm:pt>
    <dgm:pt modelId="{80B6A837-F8FA-4BBD-8B1B-10D260A64FCD}" type="pres">
      <dgm:prSet presAssocID="{73F9DE80-394B-44AC-AFAE-783150E5B6A4}" presName="node" presStyleLbl="node1" presStyleIdx="2" presStyleCnt="4" custScaleX="130332" custScaleY="132294">
        <dgm:presLayoutVars>
          <dgm:bulletEnabled val="1"/>
        </dgm:presLayoutVars>
      </dgm:prSet>
      <dgm:spPr>
        <a:prstGeom prst="roundRect">
          <a:avLst/>
        </a:prstGeom>
      </dgm:spPr>
      <dgm:t>
        <a:bodyPr/>
        <a:lstStyle/>
        <a:p>
          <a:endParaRPr lang="en-ZA"/>
        </a:p>
      </dgm:t>
    </dgm:pt>
    <dgm:pt modelId="{F2073EA2-0BB0-4275-927E-C0ADB1C28536}" type="pres">
      <dgm:prSet presAssocID="{73F9DE80-394B-44AC-AFAE-783150E5B6A4}" presName="spNode" presStyleCnt="0"/>
      <dgm:spPr/>
    </dgm:pt>
    <dgm:pt modelId="{F965AC39-96D1-42C1-8F40-8DB7403C2A17}" type="pres">
      <dgm:prSet presAssocID="{EC8A4517-6B24-49AC-A26A-D379200E19BE}" presName="sibTrans" presStyleLbl="sibTrans1D1" presStyleIdx="2" presStyleCnt="4"/>
      <dgm:spPr>
        <a:custGeom>
          <a:avLst/>
          <a:gdLst/>
          <a:ahLst/>
          <a:cxnLst/>
          <a:rect l="0" t="0" r="0" b="0"/>
          <a:pathLst>
            <a:path>
              <a:moveTo>
                <a:pt x="370312" y="1986987"/>
              </a:moveTo>
              <a:arcTo wR="1144199" hR="1144199" stAng="7953578" swAng="957758"/>
            </a:path>
          </a:pathLst>
        </a:custGeom>
      </dgm:spPr>
      <dgm:t>
        <a:bodyPr/>
        <a:lstStyle/>
        <a:p>
          <a:endParaRPr lang="en-ZA"/>
        </a:p>
      </dgm:t>
    </dgm:pt>
    <dgm:pt modelId="{3C65BE0E-815E-4180-9C0A-D40C60AFEB36}" type="pres">
      <dgm:prSet presAssocID="{200555DA-29A5-4947-BE6B-B0E3DA24B3BD}" presName="node" presStyleLbl="node1" presStyleIdx="3" presStyleCnt="4" custScaleX="130087" custScaleY="146211">
        <dgm:presLayoutVars>
          <dgm:bulletEnabled val="1"/>
        </dgm:presLayoutVars>
      </dgm:prSet>
      <dgm:spPr>
        <a:prstGeom prst="roundRect">
          <a:avLst/>
        </a:prstGeom>
      </dgm:spPr>
      <dgm:t>
        <a:bodyPr/>
        <a:lstStyle/>
        <a:p>
          <a:endParaRPr lang="en-ZA"/>
        </a:p>
      </dgm:t>
    </dgm:pt>
    <dgm:pt modelId="{E9267B2F-07BF-443E-8D4F-710C5EAE3DB7}" type="pres">
      <dgm:prSet presAssocID="{200555DA-29A5-4947-BE6B-B0E3DA24B3BD}" presName="spNode" presStyleCnt="0"/>
      <dgm:spPr/>
    </dgm:pt>
    <dgm:pt modelId="{6C896F70-5E5E-4874-A039-F7B21756E615}" type="pres">
      <dgm:prSet presAssocID="{C66C1A0E-865A-44B8-9BA1-6BB7749CDF99}" presName="sibTrans" presStyleLbl="sibTrans1D1" presStyleIdx="3" presStyleCnt="4"/>
      <dgm:spPr>
        <a:custGeom>
          <a:avLst/>
          <a:gdLst/>
          <a:ahLst/>
          <a:cxnLst/>
          <a:rect l="0" t="0" r="0" b="0"/>
          <a:pathLst>
            <a:path>
              <a:moveTo>
                <a:pt x="188152" y="515577"/>
              </a:moveTo>
              <a:arcTo wR="1144199" hR="1144199" stAng="12799549" swAng="1311853"/>
            </a:path>
          </a:pathLst>
        </a:custGeom>
      </dgm:spPr>
      <dgm:t>
        <a:bodyPr/>
        <a:lstStyle/>
        <a:p>
          <a:endParaRPr lang="en-ZA"/>
        </a:p>
      </dgm:t>
    </dgm:pt>
  </dgm:ptLst>
  <dgm:cxnLst>
    <dgm:cxn modelId="{D1697012-3662-40BE-A85A-A43F75611198}" srcId="{512B562E-EFA4-4C53-A790-23E1DC15D486}" destId="{200555DA-29A5-4947-BE6B-B0E3DA24B3BD}" srcOrd="3" destOrd="0" parTransId="{CA33232E-A806-4B76-B52D-2229B07E10F1}" sibTransId="{C66C1A0E-865A-44B8-9BA1-6BB7749CDF99}"/>
    <dgm:cxn modelId="{F08E8459-1E3B-4E27-9CC3-4FCB761C9949}" type="presOf" srcId="{2D077184-36C1-481A-BD4D-BA5015FB507B}" destId="{6B5A755F-1BBE-4ED5-B7FE-AD3510DAD437}" srcOrd="0" destOrd="0" presId="urn:microsoft.com/office/officeart/2005/8/layout/cycle5"/>
    <dgm:cxn modelId="{91661968-D0D8-42C4-908E-9460BEBCE589}" type="presOf" srcId="{73F9DE80-394B-44AC-AFAE-783150E5B6A4}" destId="{80B6A837-F8FA-4BBD-8B1B-10D260A64FCD}" srcOrd="0" destOrd="0" presId="urn:microsoft.com/office/officeart/2005/8/layout/cycle5"/>
    <dgm:cxn modelId="{D714A84D-F5FF-450E-95D6-C2B89A056E6E}" type="presOf" srcId="{200555DA-29A5-4947-BE6B-B0E3DA24B3BD}" destId="{3C65BE0E-815E-4180-9C0A-D40C60AFEB36}" srcOrd="0" destOrd="0" presId="urn:microsoft.com/office/officeart/2005/8/layout/cycle5"/>
    <dgm:cxn modelId="{FEE8AD64-7BE8-46D7-AE8B-14D77B5282B4}" type="presOf" srcId="{C66C1A0E-865A-44B8-9BA1-6BB7749CDF99}" destId="{6C896F70-5E5E-4874-A039-F7B21756E615}" srcOrd="0" destOrd="0" presId="urn:microsoft.com/office/officeart/2005/8/layout/cycle5"/>
    <dgm:cxn modelId="{826AB228-88C6-4B4D-A4DA-91B3571DBD12}" srcId="{512B562E-EFA4-4C53-A790-23E1DC15D486}" destId="{2D077184-36C1-481A-BD4D-BA5015FB507B}" srcOrd="0" destOrd="0" parTransId="{AA56FAE8-286F-4068-99E7-7F78E7A6C8DB}" sibTransId="{66692D97-8F2D-4AAA-8A8D-1E6FDA985A9D}"/>
    <dgm:cxn modelId="{40A632BD-DF66-4FBD-B2C8-774B27D91925}" type="presOf" srcId="{EC8A4517-6B24-49AC-A26A-D379200E19BE}" destId="{F965AC39-96D1-42C1-8F40-8DB7403C2A17}" srcOrd="0" destOrd="0" presId="urn:microsoft.com/office/officeart/2005/8/layout/cycle5"/>
    <dgm:cxn modelId="{807BFC9A-65F8-4D58-8067-2009DB221D70}" type="presOf" srcId="{8C3966F1-2611-4E93-BA4D-1AD237554551}" destId="{280D7640-54A7-4FF8-9FEB-1DCF8EC891A8}" srcOrd="0" destOrd="0" presId="urn:microsoft.com/office/officeart/2005/8/layout/cycle5"/>
    <dgm:cxn modelId="{F9B9F027-BD0C-4D25-A764-40A2BCE6D9E0}" type="presOf" srcId="{66692D97-8F2D-4AAA-8A8D-1E6FDA985A9D}" destId="{8708D5D4-134E-4676-B64F-964B0DA536BD}" srcOrd="0" destOrd="0" presId="urn:microsoft.com/office/officeart/2005/8/layout/cycle5"/>
    <dgm:cxn modelId="{60028DAC-E55C-4985-A063-DE10F31055F1}" srcId="{512B562E-EFA4-4C53-A790-23E1DC15D486}" destId="{73F9DE80-394B-44AC-AFAE-783150E5B6A4}" srcOrd="2" destOrd="0" parTransId="{EE08A136-8EC1-4E66-A994-6E13E9F30726}" sibTransId="{EC8A4517-6B24-49AC-A26A-D379200E19BE}"/>
    <dgm:cxn modelId="{9329AF66-92C1-4E26-9576-88ACD624C3B3}" srcId="{512B562E-EFA4-4C53-A790-23E1DC15D486}" destId="{A70DDA13-0C9E-4B43-B300-FD9D3A921861}" srcOrd="1" destOrd="0" parTransId="{D03A564E-3FD1-4BB5-813D-B065955D4AD1}" sibTransId="{8C3966F1-2611-4E93-BA4D-1AD237554551}"/>
    <dgm:cxn modelId="{26E1C8C6-77D4-4950-8DF2-B643FF5E29EB}" type="presOf" srcId="{A70DDA13-0C9E-4B43-B300-FD9D3A921861}" destId="{F1A35E3E-60E6-4D1F-9C4E-E1AD788FC705}" srcOrd="0" destOrd="0" presId="urn:microsoft.com/office/officeart/2005/8/layout/cycle5"/>
    <dgm:cxn modelId="{4A22AA90-7D76-4640-A5C3-2DB714824ED2}" type="presOf" srcId="{512B562E-EFA4-4C53-A790-23E1DC15D486}" destId="{C39A5FC6-7B4A-4A6B-99D0-61F12DF2AFE7}" srcOrd="0" destOrd="0" presId="urn:microsoft.com/office/officeart/2005/8/layout/cycle5"/>
    <dgm:cxn modelId="{F44D97E4-AA32-4860-B72E-EC1EED9DDD5B}" type="presParOf" srcId="{C39A5FC6-7B4A-4A6B-99D0-61F12DF2AFE7}" destId="{6B5A755F-1BBE-4ED5-B7FE-AD3510DAD437}" srcOrd="0" destOrd="0" presId="urn:microsoft.com/office/officeart/2005/8/layout/cycle5"/>
    <dgm:cxn modelId="{0E0EC7B0-BAD6-4435-912D-A0CA45E6C3D8}" type="presParOf" srcId="{C39A5FC6-7B4A-4A6B-99D0-61F12DF2AFE7}" destId="{4E19A549-D7F6-44FB-8656-8E870365988A}" srcOrd="1" destOrd="0" presId="urn:microsoft.com/office/officeart/2005/8/layout/cycle5"/>
    <dgm:cxn modelId="{F7EC7A2B-94B6-4536-9647-E077941E7FE6}" type="presParOf" srcId="{C39A5FC6-7B4A-4A6B-99D0-61F12DF2AFE7}" destId="{8708D5D4-134E-4676-B64F-964B0DA536BD}" srcOrd="2" destOrd="0" presId="urn:microsoft.com/office/officeart/2005/8/layout/cycle5"/>
    <dgm:cxn modelId="{0E11592C-431F-4629-A4B9-4E34309DC833}" type="presParOf" srcId="{C39A5FC6-7B4A-4A6B-99D0-61F12DF2AFE7}" destId="{F1A35E3E-60E6-4D1F-9C4E-E1AD788FC705}" srcOrd="3" destOrd="0" presId="urn:microsoft.com/office/officeart/2005/8/layout/cycle5"/>
    <dgm:cxn modelId="{62ACD5A1-6FC8-4238-B45A-0F4B8E94B22A}" type="presParOf" srcId="{C39A5FC6-7B4A-4A6B-99D0-61F12DF2AFE7}" destId="{0C0D856E-2496-4EAC-87F9-E2C239C545B4}" srcOrd="4" destOrd="0" presId="urn:microsoft.com/office/officeart/2005/8/layout/cycle5"/>
    <dgm:cxn modelId="{404DACD0-E7C6-4B92-8F2F-76B04BEA6AA1}" type="presParOf" srcId="{C39A5FC6-7B4A-4A6B-99D0-61F12DF2AFE7}" destId="{280D7640-54A7-4FF8-9FEB-1DCF8EC891A8}" srcOrd="5" destOrd="0" presId="urn:microsoft.com/office/officeart/2005/8/layout/cycle5"/>
    <dgm:cxn modelId="{A0A501C0-E2C8-4D46-BBA0-25BA65152947}" type="presParOf" srcId="{C39A5FC6-7B4A-4A6B-99D0-61F12DF2AFE7}" destId="{80B6A837-F8FA-4BBD-8B1B-10D260A64FCD}" srcOrd="6" destOrd="0" presId="urn:microsoft.com/office/officeart/2005/8/layout/cycle5"/>
    <dgm:cxn modelId="{88F2EDBD-9DF3-46A5-974F-C25517F87A16}" type="presParOf" srcId="{C39A5FC6-7B4A-4A6B-99D0-61F12DF2AFE7}" destId="{F2073EA2-0BB0-4275-927E-C0ADB1C28536}" srcOrd="7" destOrd="0" presId="urn:microsoft.com/office/officeart/2005/8/layout/cycle5"/>
    <dgm:cxn modelId="{CBFECEF5-949F-496B-A984-F106EB208562}" type="presParOf" srcId="{C39A5FC6-7B4A-4A6B-99D0-61F12DF2AFE7}" destId="{F965AC39-96D1-42C1-8F40-8DB7403C2A17}" srcOrd="8" destOrd="0" presId="urn:microsoft.com/office/officeart/2005/8/layout/cycle5"/>
    <dgm:cxn modelId="{812E22E7-C43E-4BA5-BC81-5249826952BD}" type="presParOf" srcId="{C39A5FC6-7B4A-4A6B-99D0-61F12DF2AFE7}" destId="{3C65BE0E-815E-4180-9C0A-D40C60AFEB36}" srcOrd="9" destOrd="0" presId="urn:microsoft.com/office/officeart/2005/8/layout/cycle5"/>
    <dgm:cxn modelId="{46EED009-74BC-4DE9-A252-A6231CADB570}" type="presParOf" srcId="{C39A5FC6-7B4A-4A6B-99D0-61F12DF2AFE7}" destId="{E9267B2F-07BF-443E-8D4F-710C5EAE3DB7}" srcOrd="10" destOrd="0" presId="urn:microsoft.com/office/officeart/2005/8/layout/cycle5"/>
    <dgm:cxn modelId="{002D4FD3-CAC6-4E96-9840-042DFD204BB2}" type="presParOf" srcId="{C39A5FC6-7B4A-4A6B-99D0-61F12DF2AFE7}" destId="{6C896F70-5E5E-4874-A039-F7B21756E615}" srcOrd="11" destOrd="0" presId="urn:microsoft.com/office/officeart/2005/8/layout/cycle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5A755F-1BBE-4ED5-B7FE-AD3510DAD437}">
      <dsp:nvSpPr>
        <dsp:cNvPr id="0" name=""/>
        <dsp:cNvSpPr/>
      </dsp:nvSpPr>
      <dsp:spPr>
        <a:xfrm>
          <a:off x="1725017" y="-60073"/>
          <a:ext cx="1157827" cy="75258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SADC Gender Protocol sets regional standards </a:t>
          </a:r>
        </a:p>
      </dsp:txBody>
      <dsp:txXfrm>
        <a:off x="1761755" y="-23335"/>
        <a:ext cx="1084351" cy="679111"/>
      </dsp:txXfrm>
    </dsp:sp>
    <dsp:sp modelId="{8708D5D4-134E-4676-B64F-964B0DA536BD}">
      <dsp:nvSpPr>
        <dsp:cNvPr id="0" name=""/>
        <dsp:cNvSpPr/>
      </dsp:nvSpPr>
      <dsp:spPr>
        <a:xfrm>
          <a:off x="1061660" y="316219"/>
          <a:ext cx="2484540" cy="2484540"/>
        </a:xfrm>
        <a:custGeom>
          <a:avLst/>
          <a:gdLst/>
          <a:ahLst/>
          <a:cxnLst/>
          <a:rect l="0" t="0" r="0" b="0"/>
          <a:pathLst>
            <a:path>
              <a:moveTo>
                <a:pt x="1814218" y="216692"/>
              </a:moveTo>
              <a:arcTo wR="1144199" hR="1144199" stAng="18350629" swAng="1516634"/>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F1A35E3E-60E6-4D1F-9C4E-E1AD788FC705}">
      <dsp:nvSpPr>
        <dsp:cNvPr id="0" name=""/>
        <dsp:cNvSpPr/>
      </dsp:nvSpPr>
      <dsp:spPr>
        <a:xfrm>
          <a:off x="2867071" y="1117450"/>
          <a:ext cx="1358258" cy="88207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Countries and councils  champion targets at the  national and local  level</a:t>
          </a:r>
        </a:p>
      </dsp:txBody>
      <dsp:txXfrm>
        <a:off x="2910130" y="1160509"/>
        <a:ext cx="1272140" cy="795959"/>
      </dsp:txXfrm>
    </dsp:sp>
    <dsp:sp modelId="{280D7640-54A7-4FF8-9FEB-1DCF8EC891A8}">
      <dsp:nvSpPr>
        <dsp:cNvPr id="0" name=""/>
        <dsp:cNvSpPr/>
      </dsp:nvSpPr>
      <dsp:spPr>
        <a:xfrm>
          <a:off x="1061660" y="316219"/>
          <a:ext cx="2484540" cy="2484540"/>
        </a:xfrm>
        <a:custGeom>
          <a:avLst/>
          <a:gdLst/>
          <a:ahLst/>
          <a:cxnLst/>
          <a:rect l="0" t="0" r="0" b="0"/>
          <a:pathLst>
            <a:path>
              <a:moveTo>
                <a:pt x="2163166" y="1664681"/>
              </a:moveTo>
              <a:arcTo wR="1144199" hR="1144199" stAng="1623460" swAng="1159321"/>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80B6A837-F8FA-4BBD-8B1B-10D260A64FCD}">
      <dsp:nvSpPr>
        <dsp:cNvPr id="0" name=""/>
        <dsp:cNvSpPr/>
      </dsp:nvSpPr>
      <dsp:spPr>
        <a:xfrm>
          <a:off x="1549421" y="2302945"/>
          <a:ext cx="1509019" cy="99562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kern="1200">
              <a:solidFill>
                <a:sysClr val="window" lastClr="FFFFFF"/>
              </a:solidFill>
              <a:latin typeface="Calibri" panose="020F0502020204030204"/>
              <a:ea typeface="+mn-ea"/>
              <a:cs typeface="+mn-cs"/>
            </a:rPr>
            <a:t>Good practices gathered  and shared at district, national and regional  summits </a:t>
          </a:r>
        </a:p>
      </dsp:txBody>
      <dsp:txXfrm>
        <a:off x="1598024" y="2351548"/>
        <a:ext cx="1411813" cy="898422"/>
      </dsp:txXfrm>
    </dsp:sp>
    <dsp:sp modelId="{F965AC39-96D1-42C1-8F40-8DB7403C2A17}">
      <dsp:nvSpPr>
        <dsp:cNvPr id="0" name=""/>
        <dsp:cNvSpPr/>
      </dsp:nvSpPr>
      <dsp:spPr>
        <a:xfrm>
          <a:off x="1061660" y="316219"/>
          <a:ext cx="2484540" cy="2484540"/>
        </a:xfrm>
        <a:custGeom>
          <a:avLst/>
          <a:gdLst/>
          <a:ahLst/>
          <a:cxnLst/>
          <a:rect l="0" t="0" r="0" b="0"/>
          <a:pathLst>
            <a:path>
              <a:moveTo>
                <a:pt x="370312" y="1986987"/>
              </a:moveTo>
              <a:arcTo wR="1144199" hR="1144199" stAng="7953578" swAng="957758"/>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3C65BE0E-815E-4180-9C0A-D40C60AFEB36}">
      <dsp:nvSpPr>
        <dsp:cNvPr id="0" name=""/>
        <dsp:cNvSpPr/>
      </dsp:nvSpPr>
      <dsp:spPr>
        <a:xfrm>
          <a:off x="308569" y="1008306"/>
          <a:ext cx="1506182" cy="110036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Case studies analysed in the SADC Barometer, used to lobby  for stronger provisions </a:t>
          </a:r>
        </a:p>
      </dsp:txBody>
      <dsp:txXfrm>
        <a:off x="362284" y="1062021"/>
        <a:ext cx="1398752" cy="992935"/>
      </dsp:txXfrm>
    </dsp:sp>
    <dsp:sp modelId="{6C896F70-5E5E-4874-A039-F7B21756E615}">
      <dsp:nvSpPr>
        <dsp:cNvPr id="0" name=""/>
        <dsp:cNvSpPr/>
      </dsp:nvSpPr>
      <dsp:spPr>
        <a:xfrm>
          <a:off x="1061660" y="316219"/>
          <a:ext cx="2484540" cy="2484540"/>
        </a:xfrm>
        <a:custGeom>
          <a:avLst/>
          <a:gdLst/>
          <a:ahLst/>
          <a:cxnLst/>
          <a:rect l="0" t="0" r="0" b="0"/>
          <a:pathLst>
            <a:path>
              <a:moveTo>
                <a:pt x="188152" y="515577"/>
              </a:moveTo>
              <a:arcTo wR="1144199" hR="1144199" stAng="12799549" swAng="1311853"/>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5A755F-1BBE-4ED5-B7FE-AD3510DAD437}">
      <dsp:nvSpPr>
        <dsp:cNvPr id="0" name=""/>
        <dsp:cNvSpPr/>
      </dsp:nvSpPr>
      <dsp:spPr>
        <a:xfrm>
          <a:off x="1725017" y="-60073"/>
          <a:ext cx="1157827" cy="75258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SADC Gender Protocol sets regional standards </a:t>
          </a:r>
        </a:p>
      </dsp:txBody>
      <dsp:txXfrm>
        <a:off x="1761755" y="-23335"/>
        <a:ext cx="1084351" cy="679111"/>
      </dsp:txXfrm>
    </dsp:sp>
    <dsp:sp modelId="{8708D5D4-134E-4676-B64F-964B0DA536BD}">
      <dsp:nvSpPr>
        <dsp:cNvPr id="0" name=""/>
        <dsp:cNvSpPr/>
      </dsp:nvSpPr>
      <dsp:spPr>
        <a:xfrm>
          <a:off x="1061660" y="316219"/>
          <a:ext cx="2484540" cy="2484540"/>
        </a:xfrm>
        <a:custGeom>
          <a:avLst/>
          <a:gdLst/>
          <a:ahLst/>
          <a:cxnLst/>
          <a:rect l="0" t="0" r="0" b="0"/>
          <a:pathLst>
            <a:path>
              <a:moveTo>
                <a:pt x="1814218" y="216692"/>
              </a:moveTo>
              <a:arcTo wR="1144199" hR="1144199" stAng="18350629" swAng="1516634"/>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F1A35E3E-60E6-4D1F-9C4E-E1AD788FC705}">
      <dsp:nvSpPr>
        <dsp:cNvPr id="0" name=""/>
        <dsp:cNvSpPr/>
      </dsp:nvSpPr>
      <dsp:spPr>
        <a:xfrm>
          <a:off x="2867071" y="1117450"/>
          <a:ext cx="1358258" cy="88207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Countries and councils  champion targets at the  national and local  level</a:t>
          </a:r>
        </a:p>
      </dsp:txBody>
      <dsp:txXfrm>
        <a:off x="2910130" y="1160509"/>
        <a:ext cx="1272140" cy="795959"/>
      </dsp:txXfrm>
    </dsp:sp>
    <dsp:sp modelId="{280D7640-54A7-4FF8-9FEB-1DCF8EC891A8}">
      <dsp:nvSpPr>
        <dsp:cNvPr id="0" name=""/>
        <dsp:cNvSpPr/>
      </dsp:nvSpPr>
      <dsp:spPr>
        <a:xfrm>
          <a:off x="1061660" y="316219"/>
          <a:ext cx="2484540" cy="2484540"/>
        </a:xfrm>
        <a:custGeom>
          <a:avLst/>
          <a:gdLst/>
          <a:ahLst/>
          <a:cxnLst/>
          <a:rect l="0" t="0" r="0" b="0"/>
          <a:pathLst>
            <a:path>
              <a:moveTo>
                <a:pt x="2163166" y="1664681"/>
              </a:moveTo>
              <a:arcTo wR="1144199" hR="1144199" stAng="1623460" swAng="1159321"/>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80B6A837-F8FA-4BBD-8B1B-10D260A64FCD}">
      <dsp:nvSpPr>
        <dsp:cNvPr id="0" name=""/>
        <dsp:cNvSpPr/>
      </dsp:nvSpPr>
      <dsp:spPr>
        <a:xfrm>
          <a:off x="1549421" y="2302945"/>
          <a:ext cx="1509019" cy="99562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ZA" sz="1200" kern="1200">
              <a:solidFill>
                <a:sysClr val="window" lastClr="FFFFFF"/>
              </a:solidFill>
              <a:latin typeface="Calibri" panose="020F0502020204030204"/>
              <a:ea typeface="+mn-ea"/>
              <a:cs typeface="+mn-cs"/>
            </a:rPr>
            <a:t>Good practices gathered  and shared at district, national and regional  summits </a:t>
          </a:r>
        </a:p>
      </dsp:txBody>
      <dsp:txXfrm>
        <a:off x="1598024" y="2351548"/>
        <a:ext cx="1411813" cy="898422"/>
      </dsp:txXfrm>
    </dsp:sp>
    <dsp:sp modelId="{F965AC39-96D1-42C1-8F40-8DB7403C2A17}">
      <dsp:nvSpPr>
        <dsp:cNvPr id="0" name=""/>
        <dsp:cNvSpPr/>
      </dsp:nvSpPr>
      <dsp:spPr>
        <a:xfrm>
          <a:off x="1061660" y="316219"/>
          <a:ext cx="2484540" cy="2484540"/>
        </a:xfrm>
        <a:custGeom>
          <a:avLst/>
          <a:gdLst/>
          <a:ahLst/>
          <a:cxnLst/>
          <a:rect l="0" t="0" r="0" b="0"/>
          <a:pathLst>
            <a:path>
              <a:moveTo>
                <a:pt x="370312" y="1986987"/>
              </a:moveTo>
              <a:arcTo wR="1144199" hR="1144199" stAng="7953578" swAng="957758"/>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3C65BE0E-815E-4180-9C0A-D40C60AFEB36}">
      <dsp:nvSpPr>
        <dsp:cNvPr id="0" name=""/>
        <dsp:cNvSpPr/>
      </dsp:nvSpPr>
      <dsp:spPr>
        <a:xfrm>
          <a:off x="308569" y="1008306"/>
          <a:ext cx="1506182" cy="110036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ZA" sz="1100" kern="1200">
              <a:solidFill>
                <a:sysClr val="window" lastClr="FFFFFF"/>
              </a:solidFill>
              <a:latin typeface="Calibri" panose="020F0502020204030204"/>
              <a:ea typeface="+mn-ea"/>
              <a:cs typeface="+mn-cs"/>
            </a:rPr>
            <a:t>Case studies analysed in the SADC Barometer, used to lobby  for stronger provisions </a:t>
          </a:r>
        </a:p>
      </dsp:txBody>
      <dsp:txXfrm>
        <a:off x="362284" y="1062021"/>
        <a:ext cx="1398752" cy="992935"/>
      </dsp:txXfrm>
    </dsp:sp>
    <dsp:sp modelId="{6C896F70-5E5E-4874-A039-F7B21756E615}">
      <dsp:nvSpPr>
        <dsp:cNvPr id="0" name=""/>
        <dsp:cNvSpPr/>
      </dsp:nvSpPr>
      <dsp:spPr>
        <a:xfrm>
          <a:off x="1061660" y="316219"/>
          <a:ext cx="2484540" cy="2484540"/>
        </a:xfrm>
        <a:custGeom>
          <a:avLst/>
          <a:gdLst/>
          <a:ahLst/>
          <a:cxnLst/>
          <a:rect l="0" t="0" r="0" b="0"/>
          <a:pathLst>
            <a:path>
              <a:moveTo>
                <a:pt x="188152" y="515577"/>
              </a:moveTo>
              <a:arcTo wR="1144199" hR="1144199" stAng="12799549" swAng="1311853"/>
            </a:path>
          </a:pathLst>
        </a:custGeom>
        <a:noFill/>
        <a:ln w="6350" cap="flat" cmpd="sng" algn="ctr">
          <a:solidFill>
            <a:srgbClr val="5B9BD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TotalTime>
  <Pages>19</Pages>
  <Words>4674</Words>
  <Characters>26643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dc:creator>
  <cp:lastModifiedBy>Colleen</cp:lastModifiedBy>
  <cp:revision>3</cp:revision>
  <cp:lastPrinted>2018-10-26T10:36:00Z</cp:lastPrinted>
  <dcterms:created xsi:type="dcterms:W3CDTF">2018-06-19T14:31:00Z</dcterms:created>
  <dcterms:modified xsi:type="dcterms:W3CDTF">2018-10-26T10:46:00Z</dcterms:modified>
</cp:coreProperties>
</file>