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9A41F" w14:textId="77777777" w:rsidR="00DF31D4" w:rsidRDefault="00FC21E4" w:rsidP="00FC21E4">
      <w:pPr>
        <w:jc w:val="center"/>
        <w:rPr>
          <w:rFonts w:ascii="Lato" w:hAnsi="Lato"/>
          <w:b/>
        </w:rPr>
      </w:pPr>
      <w:r>
        <w:rPr>
          <w:rFonts w:ascii="Lato" w:hAnsi="Lato"/>
          <w:b/>
        </w:rPr>
        <w:br/>
      </w:r>
      <w:r w:rsidR="005A1C0A">
        <w:rPr>
          <w:rFonts w:ascii="Lato" w:hAnsi="Lato"/>
          <w:b/>
        </w:rPr>
        <w:t>Strategic</w:t>
      </w:r>
      <w:r w:rsidR="00DF31D4">
        <w:rPr>
          <w:rFonts w:ascii="Lato" w:hAnsi="Lato"/>
          <w:b/>
        </w:rPr>
        <w:t xml:space="preserve"> Grant </w:t>
      </w:r>
      <w:r w:rsidR="00132425">
        <w:rPr>
          <w:rFonts w:ascii="Lato" w:hAnsi="Lato"/>
          <w:b/>
        </w:rPr>
        <w:t>Application</w:t>
      </w:r>
      <w:r w:rsidR="00DF31D4">
        <w:rPr>
          <w:rFonts w:ascii="Lato" w:hAnsi="Lato"/>
          <w:b/>
        </w:rPr>
        <w:t xml:space="preserve"> – </w:t>
      </w:r>
      <w:r w:rsidR="001A616D">
        <w:rPr>
          <w:rFonts w:ascii="Lato" w:hAnsi="Lato"/>
          <w:b/>
        </w:rPr>
        <w:t>Indicator</w:t>
      </w:r>
      <w:r w:rsidR="008C468C">
        <w:rPr>
          <w:rFonts w:ascii="Lato" w:hAnsi="Lato"/>
          <w:b/>
        </w:rPr>
        <w:t xml:space="preserve"> </w:t>
      </w:r>
      <w:r w:rsidR="001A616D">
        <w:rPr>
          <w:rFonts w:ascii="Lato" w:hAnsi="Lato"/>
          <w:b/>
        </w:rPr>
        <w:t xml:space="preserve">and milestone </w:t>
      </w:r>
      <w:r w:rsidR="00DF31D4">
        <w:rPr>
          <w:rFonts w:ascii="Lato" w:hAnsi="Lato"/>
          <w:b/>
        </w:rPr>
        <w:t>selection</w:t>
      </w:r>
      <w:r w:rsidR="00DF31D4">
        <w:rPr>
          <w:rFonts w:ascii="Lato" w:hAnsi="Lato"/>
          <w:b/>
        </w:rPr>
        <w:br/>
      </w:r>
      <w:r w:rsidR="00F82CA4">
        <w:rPr>
          <w:rFonts w:ascii="Lato" w:hAnsi="Lato"/>
        </w:rPr>
        <w:t>Gender Links</w:t>
      </w:r>
      <w:r w:rsidR="000D22CD">
        <w:rPr>
          <w:rFonts w:ascii="Lato" w:hAnsi="Lato"/>
        </w:rPr>
        <w:t xml:space="preserve"> | </w:t>
      </w:r>
      <w:r w:rsidR="00F82CA4">
        <w:rPr>
          <w:rFonts w:ascii="Lato" w:hAnsi="Lato"/>
        </w:rPr>
        <w:t>South Africa</w:t>
      </w:r>
      <w:r>
        <w:rPr>
          <w:rFonts w:ascii="Lato" w:hAnsi="Lato"/>
        </w:rPr>
        <w:t xml:space="preserve"> | </w:t>
      </w:r>
      <w:r w:rsidR="00F82CA4">
        <w:rPr>
          <w:rFonts w:ascii="Lato" w:hAnsi="Lato"/>
        </w:rPr>
        <w:t>October 2017</w:t>
      </w:r>
    </w:p>
    <w:p w14:paraId="1289D97D" w14:textId="77777777" w:rsidR="001A616D" w:rsidRDefault="001A616D" w:rsidP="001A616D">
      <w:pPr>
        <w:rPr>
          <w:rFonts w:ascii="Lato" w:hAnsi="Lato"/>
          <w:sz w:val="19"/>
          <w:szCs w:val="19"/>
        </w:rPr>
      </w:pPr>
      <w:r w:rsidRPr="00FC21E4">
        <w:rPr>
          <w:rFonts w:ascii="Lato" w:hAnsi="Lato"/>
          <w:sz w:val="19"/>
          <w:szCs w:val="19"/>
        </w:rPr>
        <w:t xml:space="preserve">A range of indicators have been suggested as a basis for monitoring the progress of each grant and defining reporting priorities. Alongside these AmplifyChange would like to identify </w:t>
      </w:r>
      <w:r w:rsidR="00FC21E4" w:rsidRPr="00FC21E4">
        <w:rPr>
          <w:rFonts w:ascii="Lato" w:hAnsi="Lato"/>
          <w:sz w:val="19"/>
          <w:szCs w:val="19"/>
        </w:rPr>
        <w:t>milestones</w:t>
      </w:r>
      <w:r w:rsidRPr="00FC21E4">
        <w:rPr>
          <w:rFonts w:ascii="Lato" w:hAnsi="Lato"/>
          <w:sz w:val="19"/>
          <w:szCs w:val="19"/>
        </w:rPr>
        <w:t xml:space="preserve"> to be reported against at each reporting period. </w:t>
      </w:r>
    </w:p>
    <w:p w14:paraId="4D693891" w14:textId="77777777" w:rsidR="004D1694" w:rsidRPr="00FC21E4" w:rsidRDefault="004D1694" w:rsidP="001A616D">
      <w:pPr>
        <w:rPr>
          <w:rFonts w:ascii="Lato" w:hAnsi="Lato"/>
          <w:sz w:val="19"/>
          <w:szCs w:val="19"/>
        </w:rPr>
      </w:pPr>
      <w:r>
        <w:rPr>
          <w:rFonts w:ascii="Lato" w:hAnsi="Lato"/>
          <w:sz w:val="19"/>
          <w:szCs w:val="19"/>
        </w:rPr>
        <w:t>Please detail your indicators, milestones and means of verification in the table below (page 2).</w:t>
      </w:r>
    </w:p>
    <w:p w14:paraId="58ABF2AD" w14:textId="77777777" w:rsidR="00600DE1" w:rsidRPr="00FC21E4" w:rsidRDefault="001A616D" w:rsidP="00600DE1">
      <w:pPr>
        <w:rPr>
          <w:rFonts w:ascii="Lato" w:hAnsi="Lato"/>
          <w:b/>
          <w:sz w:val="19"/>
          <w:szCs w:val="19"/>
        </w:rPr>
      </w:pPr>
      <w:r w:rsidRPr="00FC21E4">
        <w:rPr>
          <w:rFonts w:ascii="Lato" w:hAnsi="Lato"/>
          <w:b/>
          <w:sz w:val="19"/>
          <w:szCs w:val="19"/>
        </w:rPr>
        <w:t>Indicator</w:t>
      </w:r>
      <w:r w:rsidR="00600DE1" w:rsidRPr="00FC21E4">
        <w:rPr>
          <w:rFonts w:ascii="Lato" w:hAnsi="Lato"/>
          <w:b/>
          <w:sz w:val="19"/>
          <w:szCs w:val="19"/>
        </w:rPr>
        <w:t xml:space="preserve"> selection</w:t>
      </w:r>
    </w:p>
    <w:p w14:paraId="5789C2F8" w14:textId="77777777" w:rsidR="001A616D" w:rsidRPr="00FC21E4" w:rsidRDefault="001A616D" w:rsidP="001A616D">
      <w:pPr>
        <w:rPr>
          <w:rFonts w:ascii="Lato" w:hAnsi="Lato"/>
          <w:sz w:val="19"/>
          <w:szCs w:val="19"/>
        </w:rPr>
      </w:pPr>
      <w:r w:rsidRPr="00FC21E4">
        <w:rPr>
          <w:rFonts w:ascii="Lato" w:hAnsi="Lato"/>
          <w:sz w:val="19"/>
          <w:szCs w:val="19"/>
        </w:rPr>
        <w:t xml:space="preserve">Indicators have been selected from </w:t>
      </w:r>
      <w:proofErr w:type="spellStart"/>
      <w:r w:rsidRPr="00FC21E4">
        <w:rPr>
          <w:rFonts w:ascii="Lato" w:hAnsi="Lato"/>
          <w:sz w:val="19"/>
          <w:szCs w:val="19"/>
        </w:rPr>
        <w:t>AmplifyChange’s</w:t>
      </w:r>
      <w:proofErr w:type="spellEnd"/>
      <w:r w:rsidRPr="00FC21E4">
        <w:rPr>
          <w:rFonts w:ascii="Lato" w:hAnsi="Lato"/>
          <w:sz w:val="19"/>
          <w:szCs w:val="19"/>
        </w:rPr>
        <w:t xml:space="preserve"> standard indicator framework</w:t>
      </w:r>
      <w:r w:rsidR="005A1C0A">
        <w:rPr>
          <w:rFonts w:ascii="Lato" w:hAnsi="Lato"/>
          <w:sz w:val="19"/>
          <w:szCs w:val="19"/>
        </w:rPr>
        <w:t>. The full list is indicated in Annex 1</w:t>
      </w:r>
      <w:r w:rsidRPr="00FC21E4">
        <w:rPr>
          <w:rFonts w:ascii="Lato" w:hAnsi="Lato"/>
          <w:sz w:val="19"/>
          <w:szCs w:val="19"/>
        </w:rPr>
        <w:t>. These are based on the AmplifyChange Theory of Change and relate to five key outcomes for change in SRHR:</w:t>
      </w:r>
    </w:p>
    <w:p w14:paraId="5B09820D" w14:textId="77777777" w:rsidR="001A616D" w:rsidRPr="00FC21E4" w:rsidRDefault="001A616D" w:rsidP="001A616D">
      <w:pPr>
        <w:pStyle w:val="ListParagraph"/>
        <w:numPr>
          <w:ilvl w:val="0"/>
          <w:numId w:val="8"/>
        </w:numPr>
        <w:rPr>
          <w:rFonts w:ascii="Lato" w:hAnsi="Lato"/>
          <w:sz w:val="19"/>
          <w:szCs w:val="19"/>
        </w:rPr>
      </w:pPr>
      <w:r w:rsidRPr="00FC21E4">
        <w:rPr>
          <w:rFonts w:ascii="Lato" w:eastAsia="Times New Roman" w:hAnsi="Lato" w:cs="Arial"/>
          <w:color w:val="000000"/>
          <w:sz w:val="19"/>
          <w:szCs w:val="19"/>
          <w:lang w:eastAsia="en-GB"/>
        </w:rPr>
        <w:t>Stronger and more inclusive movements for SRHR</w:t>
      </w:r>
    </w:p>
    <w:p w14:paraId="16CF2463" w14:textId="77777777" w:rsidR="001A616D" w:rsidRPr="00FC21E4" w:rsidRDefault="001A616D" w:rsidP="001A616D">
      <w:pPr>
        <w:pStyle w:val="ListParagraph"/>
        <w:numPr>
          <w:ilvl w:val="0"/>
          <w:numId w:val="8"/>
        </w:numPr>
        <w:rPr>
          <w:rFonts w:ascii="Lato" w:hAnsi="Lato"/>
          <w:sz w:val="19"/>
          <w:szCs w:val="19"/>
        </w:rPr>
      </w:pPr>
      <w:r w:rsidRPr="00FC21E4">
        <w:rPr>
          <w:rFonts w:ascii="Lato" w:eastAsia="Times New Roman" w:hAnsi="Lato" w:cs="Arial"/>
          <w:color w:val="000000"/>
          <w:sz w:val="19"/>
          <w:szCs w:val="19"/>
          <w:lang w:eastAsia="en-GB"/>
        </w:rPr>
        <w:t>Increase individual awareness of SRHR as human rights</w:t>
      </w:r>
    </w:p>
    <w:p w14:paraId="23B3A084" w14:textId="77777777" w:rsidR="001A616D" w:rsidRPr="00FC21E4" w:rsidRDefault="001A616D" w:rsidP="001A616D">
      <w:pPr>
        <w:pStyle w:val="ListParagraph"/>
        <w:numPr>
          <w:ilvl w:val="0"/>
          <w:numId w:val="8"/>
        </w:numPr>
        <w:rPr>
          <w:rFonts w:ascii="Lato" w:hAnsi="Lato"/>
          <w:sz w:val="19"/>
          <w:szCs w:val="19"/>
        </w:rPr>
      </w:pPr>
      <w:r w:rsidRPr="00FC21E4">
        <w:rPr>
          <w:rFonts w:ascii="Lato" w:eastAsia="Times New Roman" w:hAnsi="Lato" w:cs="Arial"/>
          <w:color w:val="000000"/>
          <w:sz w:val="19"/>
          <w:szCs w:val="19"/>
          <w:lang w:eastAsia="en-GB"/>
        </w:rPr>
        <w:t>Increase access to SRHR resources, information and services</w:t>
      </w:r>
    </w:p>
    <w:p w14:paraId="3D21A46C" w14:textId="77777777" w:rsidR="001A616D" w:rsidRPr="00FC21E4" w:rsidRDefault="001A616D" w:rsidP="001A616D">
      <w:pPr>
        <w:pStyle w:val="ListParagraph"/>
        <w:numPr>
          <w:ilvl w:val="0"/>
          <w:numId w:val="8"/>
        </w:numPr>
        <w:rPr>
          <w:rFonts w:ascii="Lato" w:hAnsi="Lato"/>
          <w:sz w:val="19"/>
          <w:szCs w:val="19"/>
        </w:rPr>
      </w:pPr>
      <w:r w:rsidRPr="00FC21E4">
        <w:rPr>
          <w:rFonts w:ascii="Lato" w:eastAsia="Times New Roman" w:hAnsi="Lato" w:cs="Arial"/>
          <w:color w:val="000000"/>
          <w:sz w:val="19"/>
          <w:szCs w:val="19"/>
          <w:lang w:eastAsia="en-GB"/>
        </w:rPr>
        <w:t>Change social norms</w:t>
      </w:r>
    </w:p>
    <w:p w14:paraId="4EAD8D1D" w14:textId="77777777" w:rsidR="001A616D" w:rsidRPr="00FC21E4" w:rsidRDefault="001A616D" w:rsidP="001A616D">
      <w:pPr>
        <w:pStyle w:val="ListParagraph"/>
        <w:numPr>
          <w:ilvl w:val="0"/>
          <w:numId w:val="8"/>
        </w:numPr>
        <w:rPr>
          <w:rFonts w:ascii="Lato" w:hAnsi="Lato"/>
          <w:sz w:val="19"/>
          <w:szCs w:val="19"/>
        </w:rPr>
      </w:pPr>
      <w:r w:rsidRPr="00FC21E4">
        <w:rPr>
          <w:rFonts w:ascii="Lato" w:eastAsia="Times New Roman" w:hAnsi="Lato" w:cs="Arial"/>
          <w:color w:val="000000"/>
          <w:sz w:val="19"/>
          <w:szCs w:val="19"/>
          <w:lang w:eastAsia="en-GB"/>
        </w:rPr>
        <w:t>Change policies and laws</w:t>
      </w:r>
    </w:p>
    <w:p w14:paraId="730B6F1E" w14:textId="77777777" w:rsidR="001A616D" w:rsidRPr="00FC21E4" w:rsidRDefault="001A616D" w:rsidP="00600DE1">
      <w:pPr>
        <w:rPr>
          <w:rFonts w:ascii="Lato" w:hAnsi="Lato"/>
          <w:sz w:val="19"/>
          <w:szCs w:val="19"/>
        </w:rPr>
      </w:pPr>
      <w:r w:rsidRPr="00FC21E4">
        <w:rPr>
          <w:rFonts w:ascii="Lato" w:hAnsi="Lato"/>
          <w:sz w:val="19"/>
          <w:szCs w:val="19"/>
        </w:rPr>
        <w:t xml:space="preserve">Each grantee is expected to report against at least </w:t>
      </w:r>
      <w:r w:rsidR="005A1C0A" w:rsidRPr="005A1C0A">
        <w:rPr>
          <w:rFonts w:ascii="Lato" w:hAnsi="Lato"/>
          <w:b/>
          <w:sz w:val="19"/>
          <w:szCs w:val="19"/>
          <w:u w:val="single"/>
        </w:rPr>
        <w:t>five</w:t>
      </w:r>
      <w:r w:rsidRPr="005A1C0A">
        <w:rPr>
          <w:rFonts w:ascii="Lato" w:hAnsi="Lato"/>
          <w:sz w:val="19"/>
          <w:szCs w:val="19"/>
          <w:u w:val="single"/>
        </w:rPr>
        <w:t xml:space="preserve"> </w:t>
      </w:r>
      <w:proofErr w:type="gramStart"/>
      <w:r w:rsidR="005A1C0A" w:rsidRPr="005A1C0A">
        <w:rPr>
          <w:rFonts w:ascii="Lato" w:hAnsi="Lato"/>
          <w:b/>
          <w:sz w:val="19"/>
          <w:szCs w:val="19"/>
          <w:u w:val="single"/>
        </w:rPr>
        <w:t>core</w:t>
      </w:r>
      <w:proofErr w:type="gramEnd"/>
      <w:r w:rsidR="005A1C0A" w:rsidRPr="005A1C0A">
        <w:rPr>
          <w:rFonts w:ascii="Lato" w:hAnsi="Lato"/>
          <w:b/>
          <w:sz w:val="19"/>
          <w:szCs w:val="19"/>
          <w:u w:val="single"/>
        </w:rPr>
        <w:t xml:space="preserve"> AmplifyChange</w:t>
      </w:r>
      <w:r w:rsidR="005A1C0A" w:rsidRPr="005A1C0A">
        <w:rPr>
          <w:rFonts w:ascii="Lato" w:hAnsi="Lato"/>
          <w:sz w:val="19"/>
          <w:szCs w:val="19"/>
          <w:u w:val="single"/>
        </w:rPr>
        <w:t xml:space="preserve"> </w:t>
      </w:r>
      <w:r w:rsidRPr="005A1C0A">
        <w:rPr>
          <w:rFonts w:ascii="Lato" w:hAnsi="Lato"/>
          <w:b/>
          <w:sz w:val="19"/>
          <w:szCs w:val="19"/>
          <w:u w:val="single"/>
        </w:rPr>
        <w:t>indicators</w:t>
      </w:r>
      <w:r w:rsidRPr="00FC21E4">
        <w:rPr>
          <w:rFonts w:ascii="Lato" w:hAnsi="Lato"/>
          <w:sz w:val="19"/>
          <w:szCs w:val="19"/>
        </w:rPr>
        <w:t xml:space="preserve">. </w:t>
      </w:r>
      <w:r w:rsidR="005A1C0A">
        <w:rPr>
          <w:rFonts w:ascii="Lato" w:hAnsi="Lato"/>
          <w:sz w:val="19"/>
          <w:szCs w:val="19"/>
        </w:rPr>
        <w:t xml:space="preserve">Core indicators are </w:t>
      </w:r>
      <w:r w:rsidR="005A1C0A" w:rsidRPr="005A1C0A">
        <w:rPr>
          <w:rFonts w:ascii="Lato" w:hAnsi="Lato"/>
          <w:sz w:val="19"/>
          <w:szCs w:val="19"/>
          <w:highlight w:val="yellow"/>
        </w:rPr>
        <w:t>highlighted in yellow</w:t>
      </w:r>
      <w:r w:rsidR="005A1C0A">
        <w:rPr>
          <w:rFonts w:ascii="Lato" w:hAnsi="Lato"/>
          <w:sz w:val="19"/>
          <w:szCs w:val="19"/>
        </w:rPr>
        <w:t xml:space="preserve"> </w:t>
      </w:r>
      <w:r w:rsidR="004D1694">
        <w:rPr>
          <w:rFonts w:ascii="Lato" w:hAnsi="Lato"/>
          <w:sz w:val="19"/>
          <w:szCs w:val="19"/>
        </w:rPr>
        <w:t>in</w:t>
      </w:r>
      <w:r w:rsidR="005A1C0A">
        <w:rPr>
          <w:rFonts w:ascii="Lato" w:hAnsi="Lato"/>
          <w:sz w:val="19"/>
          <w:szCs w:val="19"/>
        </w:rPr>
        <w:t xml:space="preserve"> the list in Annex 1. A further 3</w:t>
      </w:r>
      <w:r w:rsidRPr="00FC21E4">
        <w:rPr>
          <w:rFonts w:ascii="Lato" w:hAnsi="Lato"/>
          <w:sz w:val="19"/>
          <w:szCs w:val="19"/>
        </w:rPr>
        <w:t xml:space="preserve"> indicators </w:t>
      </w:r>
      <w:r w:rsidR="005A1C0A">
        <w:rPr>
          <w:rFonts w:ascii="Lato" w:hAnsi="Lato"/>
          <w:sz w:val="19"/>
          <w:szCs w:val="19"/>
        </w:rPr>
        <w:t xml:space="preserve">(core or other AmplifyChange indicators) </w:t>
      </w:r>
      <w:r w:rsidRPr="00FC21E4">
        <w:rPr>
          <w:rFonts w:ascii="Lato" w:hAnsi="Lato"/>
          <w:sz w:val="19"/>
          <w:szCs w:val="19"/>
        </w:rPr>
        <w:t>may be selected if the Grantee feel able to monitor and report against these</w:t>
      </w:r>
      <w:r w:rsidR="005A1C0A">
        <w:rPr>
          <w:rFonts w:ascii="Lato" w:hAnsi="Lato"/>
          <w:sz w:val="19"/>
          <w:szCs w:val="19"/>
        </w:rPr>
        <w:t>. In total, a grantee should not choose more than 8 indicators.</w:t>
      </w:r>
      <w:r w:rsidRPr="00FC21E4">
        <w:rPr>
          <w:rFonts w:ascii="Lato" w:hAnsi="Lato"/>
          <w:sz w:val="19"/>
          <w:szCs w:val="19"/>
        </w:rPr>
        <w:t xml:space="preserve"> The indicators selected in this </w:t>
      </w:r>
      <w:r w:rsidR="004D1694">
        <w:rPr>
          <w:rFonts w:ascii="Lato" w:hAnsi="Lato"/>
          <w:sz w:val="19"/>
          <w:szCs w:val="19"/>
        </w:rPr>
        <w:t>table below</w:t>
      </w:r>
      <w:r w:rsidRPr="00FC21E4">
        <w:rPr>
          <w:rFonts w:ascii="Lato" w:hAnsi="Lato"/>
          <w:sz w:val="19"/>
          <w:szCs w:val="19"/>
        </w:rPr>
        <w:t xml:space="preserve"> may be </w:t>
      </w:r>
      <w:r w:rsidR="00FC21E4" w:rsidRPr="00FC21E4">
        <w:rPr>
          <w:rFonts w:ascii="Lato" w:hAnsi="Lato"/>
          <w:sz w:val="19"/>
          <w:szCs w:val="19"/>
        </w:rPr>
        <w:t xml:space="preserve">added to or </w:t>
      </w:r>
      <w:r w:rsidRPr="00FC21E4">
        <w:rPr>
          <w:rFonts w:ascii="Lato" w:hAnsi="Lato"/>
          <w:sz w:val="19"/>
          <w:szCs w:val="19"/>
        </w:rPr>
        <w:t>amended before the Grant Agreement is signed.</w:t>
      </w:r>
    </w:p>
    <w:p w14:paraId="18B2CD15" w14:textId="77777777" w:rsidR="00600DE1" w:rsidRPr="00FC21E4" w:rsidRDefault="00FC21E4" w:rsidP="00600DE1">
      <w:pPr>
        <w:rPr>
          <w:rFonts w:ascii="Lato" w:hAnsi="Lato"/>
          <w:b/>
          <w:sz w:val="19"/>
          <w:szCs w:val="19"/>
        </w:rPr>
      </w:pPr>
      <w:r w:rsidRPr="00FC21E4">
        <w:rPr>
          <w:rFonts w:ascii="Lato" w:hAnsi="Lato"/>
          <w:b/>
          <w:sz w:val="19"/>
          <w:szCs w:val="19"/>
        </w:rPr>
        <w:t>Milestone selection</w:t>
      </w:r>
    </w:p>
    <w:p w14:paraId="1E7269C9" w14:textId="77777777" w:rsidR="00FC21E4" w:rsidRDefault="00FC21E4" w:rsidP="005A1C0A">
      <w:pPr>
        <w:rPr>
          <w:rFonts w:ascii="Lato" w:hAnsi="Lato"/>
          <w:sz w:val="19"/>
          <w:szCs w:val="19"/>
        </w:rPr>
      </w:pPr>
      <w:r w:rsidRPr="00FC21E4">
        <w:rPr>
          <w:rFonts w:ascii="Lato" w:hAnsi="Lato"/>
          <w:sz w:val="19"/>
          <w:szCs w:val="19"/>
        </w:rPr>
        <w:t xml:space="preserve">AmplifyChange expects all grantees to propose milestones to assist Grant Support Teams to understand progress that a Grantee expects to achieve against the indicators over </w:t>
      </w:r>
      <w:r w:rsidR="005A1C0A">
        <w:rPr>
          <w:rFonts w:ascii="Lato" w:hAnsi="Lato"/>
          <w:sz w:val="19"/>
          <w:szCs w:val="19"/>
        </w:rPr>
        <w:t>each 6 months</w:t>
      </w:r>
      <w:r w:rsidRPr="00FC21E4">
        <w:rPr>
          <w:rFonts w:ascii="Lato" w:hAnsi="Lato"/>
          <w:sz w:val="19"/>
          <w:szCs w:val="19"/>
        </w:rPr>
        <w:t xml:space="preserve"> of the grant.</w:t>
      </w:r>
      <w:r w:rsidR="005A1C0A">
        <w:rPr>
          <w:rFonts w:ascii="Lato" w:hAnsi="Lato"/>
          <w:sz w:val="19"/>
          <w:szCs w:val="19"/>
        </w:rPr>
        <w:t xml:space="preserve"> This corresponds with reporting periods.</w:t>
      </w:r>
      <w:r w:rsidRPr="00FC21E4">
        <w:rPr>
          <w:rFonts w:ascii="Lato" w:hAnsi="Lato"/>
          <w:sz w:val="19"/>
          <w:szCs w:val="19"/>
        </w:rPr>
        <w:t xml:space="preserve"> Milestones can include outputs and outcomes of the project activities.</w:t>
      </w:r>
      <w:r w:rsidR="00D11084">
        <w:rPr>
          <w:rFonts w:ascii="Lato" w:hAnsi="Lato"/>
          <w:sz w:val="19"/>
          <w:szCs w:val="19"/>
        </w:rPr>
        <w:t xml:space="preserve"> </w:t>
      </w:r>
      <w:r w:rsidR="00D11084" w:rsidRPr="00D11084">
        <w:rPr>
          <w:rFonts w:ascii="Lato" w:eastAsia="Lato Regular" w:hAnsi="Lato" w:cs="Lato Regular"/>
          <w:bCs/>
          <w:iCs/>
          <w:color w:val="000000" w:themeColor="text1"/>
          <w:sz w:val="20"/>
          <w:szCs w:val="20"/>
        </w:rPr>
        <w:t>Please indicate no more than 2 milestones for each indicator per reporting period.</w:t>
      </w:r>
    </w:p>
    <w:p w14:paraId="2650FE9E" w14:textId="77777777" w:rsidR="004D1694" w:rsidRPr="004D1694" w:rsidRDefault="004D1694" w:rsidP="004D1694">
      <w:pPr>
        <w:rPr>
          <w:rFonts w:ascii="Lato" w:hAnsi="Lato"/>
          <w:b/>
          <w:sz w:val="19"/>
          <w:szCs w:val="19"/>
        </w:rPr>
      </w:pPr>
      <w:r w:rsidRPr="004D1694">
        <w:rPr>
          <w:rFonts w:ascii="Lato" w:hAnsi="Lato"/>
          <w:b/>
          <w:sz w:val="19"/>
          <w:szCs w:val="19"/>
        </w:rPr>
        <w:t>Means of Verification</w:t>
      </w:r>
    </w:p>
    <w:p w14:paraId="0C44A887" w14:textId="77777777" w:rsidR="004D1694" w:rsidRPr="00FC21E4" w:rsidRDefault="004D1694" w:rsidP="004D1694">
      <w:pPr>
        <w:rPr>
          <w:rFonts w:ascii="Lato" w:hAnsi="Lato"/>
          <w:sz w:val="19"/>
          <w:szCs w:val="19"/>
        </w:rPr>
      </w:pPr>
      <w:r w:rsidRPr="00FC21E4">
        <w:rPr>
          <w:rFonts w:ascii="Lato" w:hAnsi="Lato"/>
          <w:sz w:val="19"/>
          <w:szCs w:val="19"/>
        </w:rPr>
        <w:t xml:space="preserve">Grantees are encouraged to consider how their monitoring system, including tools and processes, will collect appropriate data to evaluate progress against the selected indicators. </w:t>
      </w:r>
      <w:r>
        <w:rPr>
          <w:rFonts w:ascii="Lato" w:hAnsi="Lato"/>
          <w:sz w:val="19"/>
          <w:szCs w:val="19"/>
        </w:rPr>
        <w:t>Please indicate your monitoring strategy in the Means of Verification column</w:t>
      </w:r>
      <w:r w:rsidRPr="00FC21E4">
        <w:rPr>
          <w:rFonts w:ascii="Lato" w:hAnsi="Lato"/>
          <w:sz w:val="19"/>
          <w:szCs w:val="19"/>
        </w:rPr>
        <w:t>.</w:t>
      </w:r>
      <w:r>
        <w:rPr>
          <w:rFonts w:ascii="Lato" w:hAnsi="Lato"/>
          <w:sz w:val="19"/>
          <w:szCs w:val="19"/>
        </w:rPr>
        <w:t xml:space="preserve"> This will be cross-referenced against the budget and work-plan.</w:t>
      </w:r>
    </w:p>
    <w:p w14:paraId="4101EE34" w14:textId="77777777" w:rsidR="007B0A2E" w:rsidRDefault="007B0A2E" w:rsidP="00600DE1">
      <w:pPr>
        <w:rPr>
          <w:rFonts w:ascii="Lato" w:hAnsi="Lato"/>
          <w:sz w:val="19"/>
          <w:szCs w:val="19"/>
        </w:rPr>
      </w:pPr>
    </w:p>
    <w:p w14:paraId="4FB1F754" w14:textId="77777777" w:rsidR="00F03A2A" w:rsidRDefault="00F03A2A" w:rsidP="00F03A2A">
      <w:pPr>
        <w:spacing w:after="0"/>
        <w:jc w:val="center"/>
        <w:rPr>
          <w:rFonts w:ascii="Lato Regular" w:hAnsi="Lato Regular"/>
          <w:b/>
          <w:sz w:val="20"/>
          <w:szCs w:val="20"/>
        </w:rPr>
      </w:pPr>
    </w:p>
    <w:tbl>
      <w:tblPr>
        <w:tblStyle w:val="TableGrid"/>
        <w:tblW w:w="14729" w:type="dxa"/>
        <w:tblInd w:w="-162" w:type="dxa"/>
        <w:tblLook w:val="04A0" w:firstRow="1" w:lastRow="0" w:firstColumn="1" w:lastColumn="0" w:noHBand="0" w:noVBand="1"/>
      </w:tblPr>
      <w:tblGrid>
        <w:gridCol w:w="2255"/>
        <w:gridCol w:w="2551"/>
        <w:gridCol w:w="2268"/>
        <w:gridCol w:w="2410"/>
        <w:gridCol w:w="2552"/>
        <w:gridCol w:w="2693"/>
      </w:tblGrid>
      <w:tr w:rsidR="00F03A2A" w:rsidRPr="007020CF" w14:paraId="349420B7" w14:textId="77777777" w:rsidTr="00BE6BE0">
        <w:trPr>
          <w:trHeight w:val="2719"/>
          <w:tblHeader/>
        </w:trPr>
        <w:tc>
          <w:tcPr>
            <w:tcW w:w="2255" w:type="dxa"/>
            <w:shd w:val="clear" w:color="auto" w:fill="595959"/>
          </w:tcPr>
          <w:p w14:paraId="37C70A08" w14:textId="77777777" w:rsidR="00F03A2A" w:rsidRPr="007020CF" w:rsidRDefault="00F03A2A" w:rsidP="00BE6BE0">
            <w:pPr>
              <w:jc w:val="center"/>
              <w:rPr>
                <w:rFonts w:ascii="Lato Regular" w:hAnsi="Lato Regular"/>
                <w:b/>
                <w:color w:val="FFFFFF" w:themeColor="background1"/>
                <w:sz w:val="20"/>
                <w:szCs w:val="20"/>
              </w:rPr>
            </w:pPr>
            <w:r w:rsidRPr="007020CF">
              <w:rPr>
                <w:rFonts w:ascii="Lato Regular" w:hAnsi="Lato Regular"/>
                <w:b/>
                <w:color w:val="FFFFFF" w:themeColor="background1"/>
                <w:sz w:val="20"/>
                <w:szCs w:val="20"/>
              </w:rPr>
              <w:lastRenderedPageBreak/>
              <w:t>INDICATOR CODE</w:t>
            </w:r>
          </w:p>
          <w:p w14:paraId="69D8B94F" w14:textId="77777777" w:rsidR="00F03A2A" w:rsidRPr="007020CF" w:rsidRDefault="00F03A2A" w:rsidP="00BE6BE0">
            <w:pPr>
              <w:jc w:val="center"/>
              <w:rPr>
                <w:rFonts w:ascii="Lato Regular" w:hAnsi="Lato Regular"/>
                <w:b/>
                <w:color w:val="FFFFFF" w:themeColor="background1"/>
                <w:sz w:val="20"/>
                <w:szCs w:val="20"/>
              </w:rPr>
            </w:pPr>
          </w:p>
          <w:p w14:paraId="3A49F4D3" w14:textId="77777777" w:rsidR="00F03A2A" w:rsidRPr="007020CF" w:rsidRDefault="00F03A2A" w:rsidP="00BE6BE0">
            <w:pPr>
              <w:jc w:val="center"/>
              <w:rPr>
                <w:rFonts w:ascii="Lato Regular" w:hAnsi="Lato Regular"/>
                <w:color w:val="FFFFFF" w:themeColor="background1"/>
                <w:sz w:val="20"/>
                <w:szCs w:val="20"/>
              </w:rPr>
            </w:pPr>
            <w:r w:rsidRPr="007020CF">
              <w:rPr>
                <w:rFonts w:ascii="Lato Regular" w:eastAsia="Times New Roman" w:hAnsi="Lato Regular" w:cs="Times New Roman"/>
                <w:i/>
                <w:color w:val="FFFFFF" w:themeColor="background1"/>
                <w:sz w:val="20"/>
                <w:szCs w:val="20"/>
                <w:lang w:val="en-US"/>
              </w:rPr>
              <w:t xml:space="preserve">Please, include the relevant Indicator code from the list below </w:t>
            </w:r>
          </w:p>
          <w:p w14:paraId="77A5D33A" w14:textId="77777777" w:rsidR="00F03A2A" w:rsidRDefault="00F03A2A" w:rsidP="00BE6BE0">
            <w:pPr>
              <w:jc w:val="center"/>
              <w:rPr>
                <w:rFonts w:ascii="Lato Regular" w:hAnsi="Lato Regular"/>
                <w:color w:val="FFFFFF" w:themeColor="background1"/>
                <w:sz w:val="20"/>
                <w:szCs w:val="20"/>
              </w:rPr>
            </w:pPr>
            <w:r w:rsidRPr="007020CF">
              <w:rPr>
                <w:rFonts w:ascii="Lato Regular" w:hAnsi="Lato Regular"/>
                <w:color w:val="FFFFFF" w:themeColor="background1"/>
                <w:sz w:val="20"/>
                <w:szCs w:val="20"/>
              </w:rPr>
              <w:t xml:space="preserve">(e.g. </w:t>
            </w:r>
            <w:proofErr w:type="spellStart"/>
            <w:r w:rsidRPr="007020CF">
              <w:rPr>
                <w:rFonts w:ascii="Lato Regular" w:hAnsi="Lato Regular"/>
                <w:color w:val="FFFFFF" w:themeColor="background1"/>
                <w:sz w:val="20"/>
                <w:szCs w:val="20"/>
              </w:rPr>
              <w:t>MB1.1</w:t>
            </w:r>
            <w:proofErr w:type="spellEnd"/>
            <w:r w:rsidRPr="007020CF">
              <w:rPr>
                <w:rFonts w:ascii="Lato Regular" w:hAnsi="Lato Regular"/>
                <w:color w:val="FFFFFF" w:themeColor="background1"/>
                <w:sz w:val="20"/>
                <w:szCs w:val="20"/>
              </w:rPr>
              <w:t>)</w:t>
            </w:r>
          </w:p>
          <w:p w14:paraId="4242166C" w14:textId="2FA558B9" w:rsidR="004C65D6" w:rsidRPr="004C65D6" w:rsidRDefault="004C65D6" w:rsidP="00BE6BE0">
            <w:pPr>
              <w:jc w:val="center"/>
              <w:rPr>
                <w:rFonts w:ascii="Lato Regular" w:hAnsi="Lato Regular"/>
                <w:b/>
                <w:i/>
                <w:color w:val="FFFFFF" w:themeColor="background1"/>
                <w:sz w:val="20"/>
                <w:szCs w:val="20"/>
              </w:rPr>
            </w:pPr>
            <w:r w:rsidRPr="004C65D6">
              <w:rPr>
                <w:rFonts w:ascii="Lato Regular" w:hAnsi="Lato Regular"/>
                <w:i/>
                <w:color w:val="FFFFFF" w:themeColor="background1"/>
                <w:sz w:val="20"/>
                <w:szCs w:val="20"/>
              </w:rPr>
              <w:t xml:space="preserve">Objectives </w:t>
            </w:r>
          </w:p>
        </w:tc>
        <w:tc>
          <w:tcPr>
            <w:tcW w:w="2551" w:type="dxa"/>
            <w:shd w:val="clear" w:color="auto" w:fill="595959"/>
          </w:tcPr>
          <w:p w14:paraId="7C6309EB" w14:textId="77777777" w:rsidR="00F03A2A" w:rsidRPr="007020CF" w:rsidRDefault="00F03A2A" w:rsidP="00BE6BE0">
            <w:pPr>
              <w:rPr>
                <w:rFonts w:ascii="Lato Regular" w:hAnsi="Lato Regular"/>
                <w:b/>
                <w:color w:val="FFFFFF" w:themeColor="background1"/>
                <w:sz w:val="20"/>
                <w:szCs w:val="20"/>
              </w:rPr>
            </w:pPr>
            <w:r w:rsidRPr="007020CF">
              <w:rPr>
                <w:rFonts w:ascii="Lato Regular" w:hAnsi="Lato Regular"/>
                <w:b/>
                <w:color w:val="FFFFFF" w:themeColor="background1"/>
                <w:sz w:val="20"/>
                <w:szCs w:val="20"/>
              </w:rPr>
              <w:t>Description (AmplifyChange core indicator / AmplifyChange indicator)</w:t>
            </w:r>
          </w:p>
        </w:tc>
        <w:tc>
          <w:tcPr>
            <w:tcW w:w="2268" w:type="dxa"/>
            <w:shd w:val="clear" w:color="auto" w:fill="595959"/>
          </w:tcPr>
          <w:p w14:paraId="7E8070A8" w14:textId="77777777" w:rsidR="00F03A2A" w:rsidRPr="007020CF" w:rsidRDefault="00F03A2A" w:rsidP="00BE6BE0">
            <w:pPr>
              <w:jc w:val="center"/>
              <w:rPr>
                <w:rFonts w:ascii="Lato Regular" w:hAnsi="Lato Regular"/>
                <w:b/>
                <w:color w:val="FFFFFF" w:themeColor="background1"/>
                <w:sz w:val="20"/>
                <w:szCs w:val="20"/>
              </w:rPr>
            </w:pPr>
            <w:r w:rsidRPr="007020CF">
              <w:rPr>
                <w:rFonts w:ascii="Lato Regular" w:hAnsi="Lato Regular"/>
                <w:b/>
                <w:color w:val="FFFFFF" w:themeColor="background1"/>
                <w:sz w:val="20"/>
                <w:szCs w:val="20"/>
              </w:rPr>
              <w:t xml:space="preserve">Milestone 1 </w:t>
            </w:r>
          </w:p>
          <w:p w14:paraId="206ED9A4" w14:textId="77777777" w:rsidR="00F03A2A" w:rsidRPr="007020CF" w:rsidRDefault="00F03A2A" w:rsidP="00BE6BE0">
            <w:pPr>
              <w:jc w:val="center"/>
              <w:rPr>
                <w:rFonts w:ascii="Lato Regular" w:eastAsia="Lato Regular" w:hAnsi="Lato Regular" w:cs="Lato Regular"/>
                <w:b/>
                <w:bCs/>
                <w:color w:val="FFFFFF" w:themeColor="background1"/>
                <w:sz w:val="20"/>
                <w:szCs w:val="20"/>
              </w:rPr>
            </w:pPr>
            <w:r w:rsidRPr="007020CF">
              <w:rPr>
                <w:rFonts w:ascii="Lato Regular" w:eastAsia="Lato Regular" w:hAnsi="Lato Regular" w:cs="Lato Regular"/>
                <w:b/>
                <w:bCs/>
                <w:color w:val="FFFFFF" w:themeColor="background1"/>
                <w:sz w:val="20"/>
                <w:szCs w:val="20"/>
              </w:rPr>
              <w:t>Reporting period:  6 month – change if different</w:t>
            </w:r>
          </w:p>
          <w:p w14:paraId="57A01EC0" w14:textId="77777777" w:rsidR="00F03A2A" w:rsidRPr="007020CF" w:rsidRDefault="00F03A2A" w:rsidP="00BE6BE0">
            <w:pPr>
              <w:jc w:val="center"/>
              <w:rPr>
                <w:rFonts w:ascii="Lato Regular" w:hAnsi="Lato Regular"/>
                <w:i/>
                <w:color w:val="FFFFFF" w:themeColor="background1"/>
                <w:sz w:val="20"/>
                <w:szCs w:val="20"/>
              </w:rPr>
            </w:pPr>
            <w:r w:rsidRPr="007020CF">
              <w:rPr>
                <w:rFonts w:ascii="Lato Regular" w:hAnsi="Lato Regular"/>
                <w:color w:val="FFFFFF" w:themeColor="background1"/>
                <w:sz w:val="20"/>
                <w:szCs w:val="20"/>
              </w:rPr>
              <w:t>Milestone:</w:t>
            </w:r>
            <w:r w:rsidRPr="007020CF">
              <w:rPr>
                <w:rFonts w:ascii="Lato Regular" w:hAnsi="Lato Regular"/>
                <w:i/>
                <w:color w:val="FFFFFF" w:themeColor="background1"/>
                <w:sz w:val="20"/>
                <w:szCs w:val="20"/>
              </w:rPr>
              <w:t xml:space="preserve"> Number (where relevant) and description</w:t>
            </w:r>
          </w:p>
          <w:p w14:paraId="34C8921A" w14:textId="77777777" w:rsidR="00F03A2A" w:rsidRPr="007020CF" w:rsidRDefault="00F03A2A" w:rsidP="00BE6BE0">
            <w:pPr>
              <w:jc w:val="center"/>
              <w:rPr>
                <w:rFonts w:ascii="Lato Regular" w:hAnsi="Lato Regular"/>
                <w:b/>
                <w:color w:val="FFFFFF" w:themeColor="background1"/>
                <w:sz w:val="20"/>
                <w:szCs w:val="20"/>
              </w:rPr>
            </w:pPr>
            <w:r w:rsidRPr="007020CF">
              <w:rPr>
                <w:rFonts w:ascii="Lato Regular" w:hAnsi="Lato Regular"/>
                <w:i/>
                <w:color w:val="FFFFFF" w:themeColor="background1"/>
                <w:sz w:val="20"/>
                <w:szCs w:val="20"/>
              </w:rPr>
              <w:br/>
              <w:t>Please, indicate Means of Verification for each milestone and ensure you cross-reference them against the budget and work-plan</w:t>
            </w:r>
          </w:p>
        </w:tc>
        <w:tc>
          <w:tcPr>
            <w:tcW w:w="2410" w:type="dxa"/>
            <w:shd w:val="clear" w:color="auto" w:fill="595959"/>
          </w:tcPr>
          <w:p w14:paraId="0D99CDEF" w14:textId="77777777" w:rsidR="00F03A2A" w:rsidRPr="007020CF" w:rsidRDefault="00F03A2A" w:rsidP="00BE6BE0">
            <w:pPr>
              <w:jc w:val="center"/>
              <w:rPr>
                <w:rFonts w:ascii="Lato Regular" w:hAnsi="Lato Regular"/>
                <w:b/>
                <w:color w:val="FFFFFF" w:themeColor="background1"/>
                <w:sz w:val="20"/>
                <w:szCs w:val="20"/>
              </w:rPr>
            </w:pPr>
            <w:r w:rsidRPr="007020CF">
              <w:rPr>
                <w:rFonts w:ascii="Lato Regular" w:hAnsi="Lato Regular"/>
                <w:b/>
                <w:color w:val="FFFFFF" w:themeColor="background1"/>
                <w:sz w:val="20"/>
                <w:szCs w:val="20"/>
              </w:rPr>
              <w:t xml:space="preserve">Milestone 2 </w:t>
            </w:r>
          </w:p>
          <w:p w14:paraId="607DFF2C" w14:textId="77777777" w:rsidR="00F03A2A" w:rsidRPr="007020CF" w:rsidRDefault="00F03A2A" w:rsidP="00BE6BE0">
            <w:pPr>
              <w:jc w:val="center"/>
              <w:rPr>
                <w:rFonts w:ascii="Lato Regular" w:hAnsi="Lato Regular"/>
                <w:i/>
                <w:color w:val="FFFFFF" w:themeColor="background1"/>
                <w:sz w:val="20"/>
                <w:szCs w:val="20"/>
              </w:rPr>
            </w:pPr>
            <w:r w:rsidRPr="007020CF">
              <w:rPr>
                <w:rFonts w:ascii="Lato Regular" w:eastAsia="Lato Regular" w:hAnsi="Lato Regular" w:cs="Lato Regular"/>
                <w:b/>
                <w:bCs/>
                <w:color w:val="FFFFFF" w:themeColor="background1"/>
                <w:sz w:val="20"/>
                <w:szCs w:val="20"/>
              </w:rPr>
              <w:t>Reporting period:  12 month</w:t>
            </w:r>
            <w:r w:rsidRPr="007020CF">
              <w:rPr>
                <w:rFonts w:ascii="Lato Regular" w:eastAsia="Lato Regular" w:hAnsi="Lato Regular" w:cs="Lato Regular"/>
                <w:b/>
                <w:bCs/>
                <w:color w:val="FFFF00"/>
                <w:sz w:val="20"/>
                <w:szCs w:val="20"/>
              </w:rPr>
              <w:t xml:space="preserve"> - </w:t>
            </w:r>
            <w:r w:rsidRPr="007020CF">
              <w:rPr>
                <w:rFonts w:ascii="Lato Regular" w:eastAsia="Lato Regular" w:hAnsi="Lato Regular" w:cs="Lato Regular"/>
                <w:b/>
                <w:bCs/>
                <w:color w:val="FFFFFF" w:themeColor="background1"/>
                <w:sz w:val="20"/>
                <w:szCs w:val="20"/>
              </w:rPr>
              <w:t>change if different</w:t>
            </w:r>
            <w:r w:rsidRPr="007020CF">
              <w:rPr>
                <w:rFonts w:ascii="Lato Regular" w:eastAsia="Lato Regular" w:hAnsi="Lato Regular" w:cs="Lato Regular"/>
                <w:b/>
                <w:bCs/>
                <w:color w:val="FFFFFF" w:themeColor="background1"/>
                <w:sz w:val="20"/>
                <w:szCs w:val="20"/>
              </w:rPr>
              <w:br/>
            </w:r>
            <w:r w:rsidRPr="007020CF">
              <w:rPr>
                <w:rFonts w:ascii="Lato Regular" w:hAnsi="Lato Regular"/>
                <w:color w:val="FFFFFF" w:themeColor="background1"/>
                <w:sz w:val="20"/>
                <w:szCs w:val="20"/>
              </w:rPr>
              <w:t>Milestone:</w:t>
            </w:r>
            <w:r w:rsidRPr="007020CF">
              <w:rPr>
                <w:rFonts w:ascii="Lato Regular" w:hAnsi="Lato Regular"/>
                <w:i/>
                <w:color w:val="FFFFFF" w:themeColor="background1"/>
                <w:sz w:val="20"/>
                <w:szCs w:val="20"/>
              </w:rPr>
              <w:t xml:space="preserve"> Number (where relevant) and description</w:t>
            </w:r>
          </w:p>
          <w:p w14:paraId="5CB32169" w14:textId="77777777" w:rsidR="00F03A2A" w:rsidRPr="007020CF" w:rsidRDefault="00F03A2A" w:rsidP="00BE6BE0">
            <w:pPr>
              <w:jc w:val="center"/>
              <w:rPr>
                <w:rFonts w:ascii="Lato Regular" w:hAnsi="Lato Regular"/>
                <w:b/>
                <w:color w:val="FFFFFF" w:themeColor="background1"/>
                <w:sz w:val="20"/>
                <w:szCs w:val="20"/>
              </w:rPr>
            </w:pPr>
            <w:r w:rsidRPr="007020CF">
              <w:rPr>
                <w:rFonts w:ascii="Lato Regular" w:hAnsi="Lato Regular"/>
                <w:i/>
                <w:color w:val="FFFFFF" w:themeColor="background1"/>
                <w:sz w:val="20"/>
                <w:szCs w:val="20"/>
              </w:rPr>
              <w:br/>
              <w:t>Please, indicate Means of Verification for each milestone and ensure you cross-reference them against the budget and work-plan</w:t>
            </w:r>
          </w:p>
        </w:tc>
        <w:tc>
          <w:tcPr>
            <w:tcW w:w="2552" w:type="dxa"/>
            <w:shd w:val="clear" w:color="auto" w:fill="595959"/>
          </w:tcPr>
          <w:p w14:paraId="5F159E99" w14:textId="77777777" w:rsidR="00F03A2A" w:rsidRPr="007020CF" w:rsidRDefault="00F03A2A" w:rsidP="00BE6BE0">
            <w:pPr>
              <w:jc w:val="center"/>
              <w:rPr>
                <w:rFonts w:ascii="Lato Regular" w:hAnsi="Lato Regular"/>
                <w:b/>
                <w:color w:val="FFFFFF" w:themeColor="background1"/>
                <w:sz w:val="20"/>
                <w:szCs w:val="20"/>
              </w:rPr>
            </w:pPr>
            <w:r w:rsidRPr="007020CF">
              <w:rPr>
                <w:rFonts w:ascii="Lato Regular" w:hAnsi="Lato Regular"/>
                <w:b/>
                <w:color w:val="FFFFFF" w:themeColor="background1"/>
                <w:sz w:val="20"/>
                <w:szCs w:val="20"/>
              </w:rPr>
              <w:t xml:space="preserve">Milestone 3 </w:t>
            </w:r>
          </w:p>
          <w:p w14:paraId="5B722B2C" w14:textId="77777777" w:rsidR="00F03A2A" w:rsidRPr="007020CF" w:rsidRDefault="00F03A2A" w:rsidP="00BE6BE0">
            <w:pPr>
              <w:jc w:val="center"/>
              <w:rPr>
                <w:rFonts w:ascii="Lato Regular" w:eastAsia="Lato Regular" w:hAnsi="Lato Regular" w:cs="Lato Regular"/>
                <w:b/>
                <w:bCs/>
                <w:color w:val="FFFFFF" w:themeColor="background1"/>
                <w:sz w:val="20"/>
                <w:szCs w:val="20"/>
              </w:rPr>
            </w:pPr>
            <w:r w:rsidRPr="007020CF">
              <w:rPr>
                <w:rFonts w:ascii="Lato Regular" w:eastAsia="Lato Regular" w:hAnsi="Lato Regular" w:cs="Lato Regular"/>
                <w:b/>
                <w:bCs/>
                <w:color w:val="FFFFFF" w:themeColor="background1"/>
                <w:sz w:val="20"/>
                <w:szCs w:val="20"/>
              </w:rPr>
              <w:t>Reporting period:  18 month – change if different</w:t>
            </w:r>
          </w:p>
          <w:p w14:paraId="45EF1DC9" w14:textId="77777777" w:rsidR="00F03A2A" w:rsidRPr="007020CF" w:rsidRDefault="00F03A2A" w:rsidP="00BE6BE0">
            <w:pPr>
              <w:jc w:val="center"/>
              <w:rPr>
                <w:rFonts w:ascii="Lato Regular" w:hAnsi="Lato Regular"/>
                <w:i/>
                <w:color w:val="FFFFFF" w:themeColor="background1"/>
                <w:sz w:val="20"/>
                <w:szCs w:val="20"/>
              </w:rPr>
            </w:pPr>
            <w:r w:rsidRPr="007020CF">
              <w:rPr>
                <w:rFonts w:ascii="Lato Regular" w:hAnsi="Lato Regular"/>
                <w:color w:val="FFFFFF" w:themeColor="background1"/>
                <w:sz w:val="20"/>
                <w:szCs w:val="20"/>
              </w:rPr>
              <w:t>Milestone:</w:t>
            </w:r>
            <w:r w:rsidRPr="007020CF">
              <w:rPr>
                <w:rFonts w:ascii="Lato Regular" w:hAnsi="Lato Regular"/>
                <w:i/>
                <w:color w:val="FFFFFF" w:themeColor="background1"/>
                <w:sz w:val="20"/>
                <w:szCs w:val="20"/>
              </w:rPr>
              <w:t xml:space="preserve"> Number (where relevant) and description</w:t>
            </w:r>
          </w:p>
          <w:p w14:paraId="015689F4" w14:textId="77777777" w:rsidR="00F03A2A" w:rsidRPr="007020CF" w:rsidRDefault="00F03A2A" w:rsidP="00BE6BE0">
            <w:pPr>
              <w:jc w:val="center"/>
              <w:rPr>
                <w:rFonts w:ascii="Lato Regular" w:hAnsi="Lato Regular"/>
                <w:b/>
                <w:color w:val="FFFFFF" w:themeColor="background1"/>
                <w:sz w:val="20"/>
                <w:szCs w:val="20"/>
              </w:rPr>
            </w:pPr>
            <w:r w:rsidRPr="007020CF">
              <w:rPr>
                <w:rFonts w:ascii="Lato Regular" w:hAnsi="Lato Regular"/>
                <w:i/>
                <w:color w:val="FFFFFF" w:themeColor="background1"/>
                <w:sz w:val="20"/>
                <w:szCs w:val="20"/>
              </w:rPr>
              <w:br/>
              <w:t>Please, indicate Means of Verification for each milestone and ensure you cross-reference them against the budget and work-plan</w:t>
            </w:r>
          </w:p>
        </w:tc>
        <w:tc>
          <w:tcPr>
            <w:tcW w:w="2693" w:type="dxa"/>
            <w:shd w:val="clear" w:color="auto" w:fill="595959"/>
          </w:tcPr>
          <w:p w14:paraId="6FF718A0" w14:textId="77777777" w:rsidR="00F03A2A" w:rsidRPr="007020CF" w:rsidRDefault="00F03A2A" w:rsidP="00BE6BE0">
            <w:pPr>
              <w:jc w:val="center"/>
              <w:rPr>
                <w:rFonts w:ascii="Lato Regular" w:hAnsi="Lato Regular"/>
                <w:b/>
                <w:color w:val="FFFFFF" w:themeColor="background1"/>
                <w:sz w:val="20"/>
                <w:szCs w:val="20"/>
              </w:rPr>
            </w:pPr>
            <w:r w:rsidRPr="007020CF">
              <w:rPr>
                <w:rFonts w:ascii="Lato Regular" w:hAnsi="Lato Regular"/>
                <w:b/>
                <w:color w:val="FFFFFF" w:themeColor="background1"/>
                <w:sz w:val="20"/>
                <w:szCs w:val="20"/>
              </w:rPr>
              <w:t xml:space="preserve">Milestone 4 </w:t>
            </w:r>
          </w:p>
          <w:p w14:paraId="75789ACC" w14:textId="77777777" w:rsidR="00F03A2A" w:rsidRPr="007020CF" w:rsidRDefault="00F03A2A" w:rsidP="00BE6BE0">
            <w:pPr>
              <w:jc w:val="center"/>
              <w:rPr>
                <w:rFonts w:ascii="Lato Regular" w:eastAsia="Lato Regular" w:hAnsi="Lato Regular" w:cs="Lato Regular"/>
                <w:b/>
                <w:bCs/>
                <w:color w:val="FFFFFF" w:themeColor="background1"/>
                <w:sz w:val="20"/>
                <w:szCs w:val="20"/>
              </w:rPr>
            </w:pPr>
            <w:r w:rsidRPr="007020CF">
              <w:rPr>
                <w:rFonts w:ascii="Lato Regular" w:eastAsia="Lato Regular" w:hAnsi="Lato Regular" w:cs="Lato Regular"/>
                <w:b/>
                <w:bCs/>
                <w:color w:val="FFFFFF" w:themeColor="background1"/>
                <w:sz w:val="20"/>
                <w:szCs w:val="20"/>
              </w:rPr>
              <w:t>Reporting period:  24 month – change if different</w:t>
            </w:r>
          </w:p>
          <w:p w14:paraId="2ED78643" w14:textId="77777777" w:rsidR="00F03A2A" w:rsidRPr="007020CF" w:rsidRDefault="00F03A2A" w:rsidP="00BE6BE0">
            <w:pPr>
              <w:jc w:val="center"/>
              <w:rPr>
                <w:rFonts w:ascii="Lato Regular" w:hAnsi="Lato Regular"/>
                <w:i/>
                <w:color w:val="FFFFFF" w:themeColor="background1"/>
                <w:sz w:val="20"/>
                <w:szCs w:val="20"/>
              </w:rPr>
            </w:pPr>
            <w:r w:rsidRPr="007020CF">
              <w:rPr>
                <w:rFonts w:ascii="Lato Regular" w:hAnsi="Lato Regular"/>
                <w:color w:val="FFFFFF" w:themeColor="background1"/>
                <w:sz w:val="20"/>
                <w:szCs w:val="20"/>
              </w:rPr>
              <w:t>Milestone:</w:t>
            </w:r>
            <w:r w:rsidRPr="007020CF">
              <w:rPr>
                <w:rFonts w:ascii="Lato Regular" w:hAnsi="Lato Regular"/>
                <w:i/>
                <w:color w:val="FFFFFF" w:themeColor="background1"/>
                <w:sz w:val="20"/>
                <w:szCs w:val="20"/>
              </w:rPr>
              <w:t xml:space="preserve"> Number (where relevant) and description</w:t>
            </w:r>
          </w:p>
          <w:p w14:paraId="1D467F73" w14:textId="77777777" w:rsidR="00F03A2A" w:rsidRPr="007020CF" w:rsidRDefault="00F03A2A" w:rsidP="00BE6BE0">
            <w:pPr>
              <w:jc w:val="center"/>
              <w:rPr>
                <w:rFonts w:ascii="Lato Regular" w:hAnsi="Lato Regular"/>
                <w:b/>
                <w:color w:val="FFFFFF" w:themeColor="background1"/>
                <w:sz w:val="20"/>
                <w:szCs w:val="20"/>
              </w:rPr>
            </w:pPr>
            <w:r w:rsidRPr="007020CF">
              <w:rPr>
                <w:rFonts w:ascii="Lato Regular" w:hAnsi="Lato Regular"/>
                <w:i/>
                <w:color w:val="FFFFFF" w:themeColor="background1"/>
                <w:sz w:val="20"/>
                <w:szCs w:val="20"/>
              </w:rPr>
              <w:br/>
              <w:t>Please, indicate Means of Verification for each milestone and ensure you cross-reference them against the budget and work-plan</w:t>
            </w:r>
          </w:p>
        </w:tc>
      </w:tr>
      <w:tr w:rsidR="00F03A2A" w:rsidRPr="007020CF" w14:paraId="7C205598" w14:textId="77777777" w:rsidTr="00BE6BE0">
        <w:trPr>
          <w:trHeight w:val="2535"/>
        </w:trPr>
        <w:tc>
          <w:tcPr>
            <w:tcW w:w="2255" w:type="dxa"/>
          </w:tcPr>
          <w:p w14:paraId="31B7E054" w14:textId="77777777" w:rsidR="00F03A2A" w:rsidRPr="007020CF" w:rsidRDefault="00F03A2A" w:rsidP="00BE6BE0">
            <w:pPr>
              <w:rPr>
                <w:rFonts w:ascii="Lato Regular" w:hAnsi="Lato Regular"/>
                <w:sz w:val="20"/>
                <w:szCs w:val="20"/>
              </w:rPr>
            </w:pPr>
            <w:proofErr w:type="spellStart"/>
            <w:r w:rsidRPr="007020CF">
              <w:rPr>
                <w:rFonts w:ascii="Lato Regular" w:hAnsi="Lato Regular"/>
                <w:sz w:val="20"/>
                <w:szCs w:val="20"/>
              </w:rPr>
              <w:t>MB5.1</w:t>
            </w:r>
            <w:proofErr w:type="spellEnd"/>
          </w:p>
          <w:p w14:paraId="7625B3CE" w14:textId="77777777" w:rsidR="00F03A2A" w:rsidRPr="00F03A2A" w:rsidRDefault="00F03A2A" w:rsidP="00BE6BE0">
            <w:pPr>
              <w:pStyle w:val="ListParagraph"/>
              <w:numPr>
                <w:ilvl w:val="0"/>
                <w:numId w:val="9"/>
              </w:numPr>
              <w:rPr>
                <w:rFonts w:ascii="Lato Regular" w:hAnsi="Lato Regular"/>
                <w:i/>
                <w:sz w:val="20"/>
                <w:szCs w:val="20"/>
              </w:rPr>
            </w:pPr>
            <w:r w:rsidRPr="00F03A2A">
              <w:rPr>
                <w:rFonts w:ascii="Lato Regular" w:hAnsi="Lato Regular"/>
                <w:i/>
                <w:sz w:val="20"/>
                <w:szCs w:val="20"/>
              </w:rPr>
              <w:t xml:space="preserve">To strengthen the SRHR cluster within the Southern African Gender Protocol Alliance)  </w:t>
            </w:r>
          </w:p>
        </w:tc>
        <w:tc>
          <w:tcPr>
            <w:tcW w:w="2551" w:type="dxa"/>
          </w:tcPr>
          <w:p w14:paraId="1F6FD602" w14:textId="77777777" w:rsidR="00F03A2A" w:rsidRPr="007020CF" w:rsidRDefault="00F03A2A" w:rsidP="00BE6BE0">
            <w:pPr>
              <w:rPr>
                <w:rFonts w:ascii="Lato Regular" w:hAnsi="Lato Regular" w:cs="Lucida Grande"/>
                <w:sz w:val="20"/>
                <w:szCs w:val="20"/>
                <w:highlight w:val="yellow"/>
              </w:rPr>
            </w:pPr>
            <w:r w:rsidRPr="007020CF">
              <w:rPr>
                <w:rFonts w:ascii="Lato Regular" w:eastAsia="Times New Roman" w:hAnsi="Lato Regular"/>
                <w:sz w:val="20"/>
                <w:szCs w:val="20"/>
                <w:highlight w:val="yellow"/>
              </w:rPr>
              <w:t>More inclusive networks, with partnerships established with non-traditional SRHR allies (including: religious leaders, faith movements, youth groups, social justice / budget tracking / research / media organisations that don’t traditionally work in SRHR)</w:t>
            </w:r>
            <w:r w:rsidRPr="007020CF">
              <w:rPr>
                <w:rFonts w:ascii="Lato Regular" w:hAnsi="Lato Regular"/>
                <w:i/>
                <w:sz w:val="20"/>
                <w:szCs w:val="20"/>
                <w:highlight w:val="yellow"/>
              </w:rPr>
              <w:t xml:space="preserve"> </w:t>
            </w:r>
          </w:p>
        </w:tc>
        <w:tc>
          <w:tcPr>
            <w:tcW w:w="2268" w:type="dxa"/>
          </w:tcPr>
          <w:p w14:paraId="2071BB0F"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4621E7FE" w14:textId="7C24C2D4" w:rsidR="00F03A2A" w:rsidRPr="007020CF" w:rsidRDefault="00F03A2A" w:rsidP="00BE6BE0">
            <w:pPr>
              <w:rPr>
                <w:rFonts w:ascii="Lato Regular" w:hAnsi="Lato Regular"/>
                <w:sz w:val="20"/>
                <w:szCs w:val="20"/>
              </w:rPr>
            </w:pPr>
            <w:r w:rsidRPr="007020CF">
              <w:rPr>
                <w:rFonts w:ascii="Lato Regular" w:hAnsi="Lato Regular"/>
                <w:sz w:val="20"/>
                <w:szCs w:val="20"/>
              </w:rPr>
              <w:t xml:space="preserve">Mapping of SRHR and </w:t>
            </w:r>
            <w:proofErr w:type="spellStart"/>
            <w:r w:rsidRPr="007020CF">
              <w:rPr>
                <w:rFonts w:ascii="Lato Regular" w:hAnsi="Lato Regular"/>
                <w:sz w:val="20"/>
                <w:szCs w:val="20"/>
              </w:rPr>
              <w:t>LGBTI</w:t>
            </w:r>
            <w:proofErr w:type="spellEnd"/>
            <w:r w:rsidRPr="007020CF">
              <w:rPr>
                <w:rFonts w:ascii="Lato Regular" w:hAnsi="Lato Regular"/>
                <w:sz w:val="20"/>
                <w:szCs w:val="20"/>
              </w:rPr>
              <w:t xml:space="preserve"> organisations in target countries; identifying youth champions for SRHR at national and local level</w:t>
            </w:r>
            <w:r w:rsidR="008B6418">
              <w:rPr>
                <w:rFonts w:ascii="Lato Regular" w:hAnsi="Lato Regular"/>
                <w:sz w:val="20"/>
                <w:szCs w:val="20"/>
              </w:rPr>
              <w:t>.</w:t>
            </w:r>
          </w:p>
          <w:p w14:paraId="1DCDE84C" w14:textId="77777777" w:rsidR="00F03A2A" w:rsidRPr="007020CF" w:rsidRDefault="00F03A2A" w:rsidP="00BE6BE0">
            <w:pPr>
              <w:rPr>
                <w:rFonts w:ascii="Lato Regular" w:hAnsi="Lato Regular"/>
                <w:sz w:val="20"/>
                <w:szCs w:val="20"/>
              </w:rPr>
            </w:pPr>
          </w:p>
          <w:p w14:paraId="7F556A19"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0AD42DA8"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Alliance mapping tool </w:t>
            </w:r>
          </w:p>
          <w:p w14:paraId="08E84127" w14:textId="77777777" w:rsidR="00F03A2A" w:rsidRPr="007020CF" w:rsidRDefault="00F03A2A" w:rsidP="00BE6BE0">
            <w:pPr>
              <w:rPr>
                <w:rFonts w:ascii="Lato Regular" w:hAnsi="Lato Regular"/>
                <w:sz w:val="20"/>
                <w:szCs w:val="20"/>
              </w:rPr>
            </w:pPr>
          </w:p>
        </w:tc>
        <w:tc>
          <w:tcPr>
            <w:tcW w:w="2410" w:type="dxa"/>
          </w:tcPr>
          <w:p w14:paraId="511834B5"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28AADECB" w14:textId="095612A2" w:rsidR="00F03A2A" w:rsidRPr="007020CF" w:rsidRDefault="00F03A2A" w:rsidP="00BE6BE0">
            <w:pPr>
              <w:rPr>
                <w:rFonts w:ascii="Lato Regular" w:hAnsi="Lato Regular"/>
                <w:sz w:val="20"/>
                <w:szCs w:val="20"/>
              </w:rPr>
            </w:pPr>
            <w:r w:rsidRPr="007020CF">
              <w:rPr>
                <w:rFonts w:ascii="Lato Regular" w:hAnsi="Lato Regular"/>
                <w:sz w:val="20"/>
                <w:szCs w:val="20"/>
              </w:rPr>
              <w:t>Convene national SRHR cluster meetings</w:t>
            </w:r>
            <w:r w:rsidR="001065BE">
              <w:rPr>
                <w:rFonts w:ascii="Lato Regular" w:hAnsi="Lato Regular"/>
                <w:sz w:val="20"/>
                <w:szCs w:val="20"/>
              </w:rPr>
              <w:t xml:space="preserve">; share a fundraising tool kit </w:t>
            </w:r>
            <w:r w:rsidRPr="007020CF">
              <w:rPr>
                <w:rFonts w:ascii="Lato Regular" w:hAnsi="Lato Regular"/>
                <w:sz w:val="20"/>
                <w:szCs w:val="20"/>
              </w:rPr>
              <w:t xml:space="preserve"> </w:t>
            </w:r>
          </w:p>
          <w:p w14:paraId="3E31DFD2" w14:textId="77777777" w:rsidR="00F03A2A" w:rsidRPr="007020CF" w:rsidRDefault="00F03A2A" w:rsidP="00BE6BE0">
            <w:pPr>
              <w:rPr>
                <w:rFonts w:ascii="Lato Regular" w:hAnsi="Lato Regular"/>
                <w:sz w:val="20"/>
                <w:szCs w:val="20"/>
              </w:rPr>
            </w:pPr>
          </w:p>
          <w:p w14:paraId="1A645F79"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17AF52D1" w14:textId="4615981C" w:rsidR="00F03A2A" w:rsidRPr="007020CF" w:rsidRDefault="00F03A2A" w:rsidP="00BE6BE0">
            <w:pPr>
              <w:rPr>
                <w:rFonts w:ascii="Lato Regular" w:hAnsi="Lato Regular"/>
                <w:sz w:val="20"/>
                <w:szCs w:val="20"/>
              </w:rPr>
            </w:pPr>
            <w:r w:rsidRPr="007020CF">
              <w:rPr>
                <w:rFonts w:ascii="Lato Regular" w:hAnsi="Lato Regular"/>
                <w:sz w:val="20"/>
                <w:szCs w:val="20"/>
              </w:rPr>
              <w:t xml:space="preserve">Meeting report and participants list. </w:t>
            </w:r>
            <w:r w:rsidR="001065BE">
              <w:rPr>
                <w:rFonts w:ascii="Lato Regular" w:hAnsi="Lato Regular"/>
                <w:sz w:val="20"/>
                <w:szCs w:val="20"/>
              </w:rPr>
              <w:t xml:space="preserve">Fund raising tool kit </w:t>
            </w:r>
          </w:p>
        </w:tc>
        <w:tc>
          <w:tcPr>
            <w:tcW w:w="2552" w:type="dxa"/>
          </w:tcPr>
          <w:p w14:paraId="3C08D5B2"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39FAE93A"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Convene regional meetings on key cross cutting themes </w:t>
            </w:r>
          </w:p>
          <w:p w14:paraId="69D22E8F" w14:textId="77777777" w:rsidR="00F03A2A" w:rsidRPr="007020CF" w:rsidRDefault="00F03A2A" w:rsidP="00BE6BE0">
            <w:pPr>
              <w:rPr>
                <w:rFonts w:ascii="Lato Regular" w:hAnsi="Lato Regular"/>
                <w:sz w:val="20"/>
                <w:szCs w:val="20"/>
              </w:rPr>
            </w:pPr>
          </w:p>
          <w:p w14:paraId="3F5111A5"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241EBDC9"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Records of meetings </w:t>
            </w:r>
          </w:p>
        </w:tc>
        <w:tc>
          <w:tcPr>
            <w:tcW w:w="2693" w:type="dxa"/>
          </w:tcPr>
          <w:p w14:paraId="4A638F80"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68850647" w14:textId="1D5E5D46" w:rsidR="00F03A2A" w:rsidRPr="007020CF" w:rsidRDefault="00F03A2A" w:rsidP="00BE6BE0">
            <w:pPr>
              <w:rPr>
                <w:rFonts w:ascii="Lato Regular" w:hAnsi="Lato Regular"/>
                <w:sz w:val="20"/>
                <w:szCs w:val="20"/>
              </w:rPr>
            </w:pPr>
            <w:r w:rsidRPr="007020CF">
              <w:rPr>
                <w:rFonts w:ascii="Lato Regular" w:hAnsi="Lato Regular"/>
                <w:sz w:val="20"/>
                <w:szCs w:val="20"/>
              </w:rPr>
              <w:t>Multi-stakeholder stock taking meeting on SRHR which will also evaluate the project reflects a strengthened</w:t>
            </w:r>
            <w:r w:rsidR="0042062E">
              <w:rPr>
                <w:rFonts w:ascii="Lato Regular" w:hAnsi="Lato Regular"/>
                <w:sz w:val="20"/>
                <w:szCs w:val="20"/>
              </w:rPr>
              <w:t>, more inclusive,</w:t>
            </w:r>
            <w:r w:rsidRPr="007020CF">
              <w:rPr>
                <w:rFonts w:ascii="Lato Regular" w:hAnsi="Lato Regular"/>
                <w:sz w:val="20"/>
                <w:szCs w:val="20"/>
              </w:rPr>
              <w:t xml:space="preserve"> SRHR cluster </w:t>
            </w:r>
          </w:p>
          <w:p w14:paraId="524EB765" w14:textId="77777777" w:rsidR="00F03A2A" w:rsidRPr="007020CF" w:rsidRDefault="00F03A2A" w:rsidP="00BE6BE0">
            <w:pPr>
              <w:rPr>
                <w:rFonts w:ascii="Lato Regular" w:hAnsi="Lato Regular"/>
                <w:sz w:val="20"/>
                <w:szCs w:val="20"/>
              </w:rPr>
            </w:pPr>
          </w:p>
          <w:p w14:paraId="30DE8338"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635CD9E7"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Evaluation of project – recommendation, meeting report. </w:t>
            </w:r>
          </w:p>
        </w:tc>
      </w:tr>
      <w:tr w:rsidR="00F03A2A" w:rsidRPr="007020CF" w14:paraId="69A40CC4" w14:textId="77777777" w:rsidTr="00BE6BE0">
        <w:trPr>
          <w:trHeight w:val="70"/>
        </w:trPr>
        <w:tc>
          <w:tcPr>
            <w:tcW w:w="2255" w:type="dxa"/>
          </w:tcPr>
          <w:p w14:paraId="7F80B0E2" w14:textId="77777777" w:rsidR="00F03A2A" w:rsidRPr="007020CF" w:rsidRDefault="00F03A2A" w:rsidP="00BE6BE0">
            <w:pPr>
              <w:rPr>
                <w:rFonts w:ascii="Lato Regular" w:hAnsi="Lato Regular"/>
                <w:sz w:val="20"/>
                <w:szCs w:val="20"/>
              </w:rPr>
            </w:pPr>
            <w:proofErr w:type="spellStart"/>
            <w:r w:rsidRPr="007020CF">
              <w:rPr>
                <w:rFonts w:ascii="Lato Regular" w:hAnsi="Lato Regular"/>
                <w:sz w:val="20"/>
                <w:szCs w:val="20"/>
              </w:rPr>
              <w:t>MB3.1</w:t>
            </w:r>
            <w:proofErr w:type="spellEnd"/>
          </w:p>
        </w:tc>
        <w:tc>
          <w:tcPr>
            <w:tcW w:w="2551" w:type="dxa"/>
          </w:tcPr>
          <w:p w14:paraId="070EDA4C" w14:textId="77777777" w:rsidR="00F03A2A" w:rsidRPr="007020CF" w:rsidRDefault="00F03A2A" w:rsidP="00BE6BE0">
            <w:pPr>
              <w:rPr>
                <w:rFonts w:ascii="Lato Regular" w:eastAsia="Times New Roman" w:hAnsi="Lato Regular"/>
                <w:sz w:val="20"/>
                <w:szCs w:val="20"/>
                <w:highlight w:val="yellow"/>
              </w:rPr>
            </w:pPr>
            <w:r w:rsidRPr="007020CF">
              <w:rPr>
                <w:rFonts w:ascii="Lato Regular" w:eastAsia="Times New Roman" w:hAnsi="Lato Regular" w:cs="Times New Roman"/>
                <w:color w:val="000000"/>
                <w:sz w:val="20"/>
                <w:szCs w:val="20"/>
                <w:highlight w:val="yellow"/>
              </w:rPr>
              <w:t>AmplifyChange grantee needing capacity building support developed, implemented and achieved organisational capacity-building plans</w:t>
            </w:r>
          </w:p>
        </w:tc>
        <w:tc>
          <w:tcPr>
            <w:tcW w:w="2268" w:type="dxa"/>
          </w:tcPr>
          <w:p w14:paraId="5FD94364"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2CFB2C7F" w14:textId="77E9CD51" w:rsidR="00F03A2A" w:rsidRPr="007020CF" w:rsidRDefault="00F03A2A" w:rsidP="008B6418">
            <w:pPr>
              <w:rPr>
                <w:rFonts w:ascii="Lato Regular" w:hAnsi="Lato Regular"/>
                <w:sz w:val="20"/>
                <w:szCs w:val="20"/>
              </w:rPr>
            </w:pPr>
            <w:r w:rsidRPr="007020CF">
              <w:rPr>
                <w:rFonts w:ascii="Lato Regular" w:hAnsi="Lato Regular"/>
                <w:sz w:val="20"/>
                <w:szCs w:val="20"/>
              </w:rPr>
              <w:t xml:space="preserve">Conduct a training needs assessment and hold a training workshop to build capacity of Alliance networks </w:t>
            </w:r>
            <w:r w:rsidR="008B6418">
              <w:rPr>
                <w:rFonts w:ascii="Lato Regular" w:hAnsi="Lato Regular"/>
                <w:sz w:val="20"/>
                <w:szCs w:val="20"/>
              </w:rPr>
              <w:t xml:space="preserve">on </w:t>
            </w:r>
            <w:r w:rsidRPr="007020CF">
              <w:rPr>
                <w:rFonts w:ascii="Lato Regular" w:hAnsi="Lato Regular"/>
                <w:sz w:val="20"/>
                <w:szCs w:val="20"/>
              </w:rPr>
              <w:t xml:space="preserve">SRHR concepts and advocacy </w:t>
            </w:r>
          </w:p>
        </w:tc>
        <w:tc>
          <w:tcPr>
            <w:tcW w:w="2410" w:type="dxa"/>
          </w:tcPr>
          <w:p w14:paraId="3AE6BD75"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1320E39E" w14:textId="77777777" w:rsidR="00F03A2A" w:rsidRDefault="008B6418" w:rsidP="00BE6BE0">
            <w:pPr>
              <w:rPr>
                <w:rFonts w:ascii="Lato Regular" w:hAnsi="Lato Regular"/>
                <w:sz w:val="20"/>
                <w:szCs w:val="20"/>
              </w:rPr>
            </w:pPr>
            <w:r>
              <w:rPr>
                <w:rFonts w:ascii="Lato Regular" w:hAnsi="Lato Regular"/>
                <w:sz w:val="20"/>
                <w:szCs w:val="20"/>
              </w:rPr>
              <w:t xml:space="preserve">Backstop training on the Alliance Community of Practise </w:t>
            </w:r>
          </w:p>
          <w:p w14:paraId="4C9BAFCE" w14:textId="77777777" w:rsidR="00B63EF9" w:rsidRDefault="00B63EF9" w:rsidP="00BE6BE0">
            <w:pPr>
              <w:rPr>
                <w:rFonts w:ascii="Lato Regular" w:hAnsi="Lato Regular"/>
                <w:sz w:val="20"/>
                <w:szCs w:val="20"/>
              </w:rPr>
            </w:pPr>
          </w:p>
          <w:p w14:paraId="6FC8E97B" w14:textId="77777777" w:rsidR="00F03A2A" w:rsidRPr="007020CF" w:rsidRDefault="00F03A2A" w:rsidP="00BE6BE0">
            <w:pPr>
              <w:rPr>
                <w:rFonts w:ascii="Lato Regular" w:hAnsi="Lato Regular"/>
                <w:sz w:val="20"/>
                <w:szCs w:val="20"/>
              </w:rPr>
            </w:pPr>
            <w:bookmarkStart w:id="0" w:name="_GoBack"/>
            <w:bookmarkEnd w:id="0"/>
            <w:r w:rsidRPr="007020CF">
              <w:rPr>
                <w:rFonts w:ascii="Lato Regular" w:hAnsi="Lato Regular"/>
                <w:sz w:val="20"/>
                <w:szCs w:val="20"/>
              </w:rPr>
              <w:t>Means of Verification:</w:t>
            </w:r>
          </w:p>
          <w:p w14:paraId="0CA9A022" w14:textId="41D1BBC8" w:rsidR="00F03A2A" w:rsidRPr="007020CF" w:rsidRDefault="008B6418" w:rsidP="004C65D6">
            <w:pPr>
              <w:rPr>
                <w:rFonts w:ascii="Lato Regular" w:hAnsi="Lato Regular"/>
                <w:sz w:val="20"/>
                <w:szCs w:val="20"/>
              </w:rPr>
            </w:pPr>
            <w:r>
              <w:rPr>
                <w:rFonts w:ascii="Lato Regular" w:hAnsi="Lato Regular"/>
                <w:sz w:val="20"/>
                <w:szCs w:val="20"/>
              </w:rPr>
              <w:t xml:space="preserve">Discussion forums; bulletin Boards </w:t>
            </w:r>
          </w:p>
        </w:tc>
        <w:tc>
          <w:tcPr>
            <w:tcW w:w="2552" w:type="dxa"/>
          </w:tcPr>
          <w:p w14:paraId="6270F27F"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2213CA2E" w14:textId="7E222FB5" w:rsidR="00F03A2A" w:rsidRPr="007020CF" w:rsidRDefault="00B63EF9" w:rsidP="00BE6BE0">
            <w:pPr>
              <w:rPr>
                <w:rFonts w:ascii="Lato Regular" w:hAnsi="Lato Regular"/>
                <w:sz w:val="20"/>
                <w:szCs w:val="20"/>
              </w:rPr>
            </w:pPr>
            <w:r>
              <w:rPr>
                <w:rFonts w:ascii="Lato Regular" w:hAnsi="Lato Regular"/>
                <w:sz w:val="20"/>
                <w:szCs w:val="20"/>
              </w:rPr>
              <w:t xml:space="preserve">Apply training in on-the-job </w:t>
            </w:r>
            <w:r w:rsidR="00F03A2A" w:rsidRPr="007020CF">
              <w:rPr>
                <w:rFonts w:ascii="Lato Regular" w:hAnsi="Lato Regular"/>
                <w:sz w:val="20"/>
                <w:szCs w:val="20"/>
              </w:rPr>
              <w:t>online and offline campaign</w:t>
            </w:r>
            <w:r>
              <w:rPr>
                <w:rFonts w:ascii="Lato Regular" w:hAnsi="Lato Regular"/>
                <w:sz w:val="20"/>
                <w:szCs w:val="20"/>
              </w:rPr>
              <w:t>s</w:t>
            </w:r>
            <w:r w:rsidR="00F03A2A" w:rsidRPr="007020CF">
              <w:rPr>
                <w:rFonts w:ascii="Lato Regular" w:hAnsi="Lato Regular"/>
                <w:sz w:val="20"/>
                <w:szCs w:val="20"/>
              </w:rPr>
              <w:t xml:space="preserve"> on SRHR</w:t>
            </w:r>
            <w:r>
              <w:rPr>
                <w:rFonts w:ascii="Lato Regular" w:hAnsi="Lato Regular"/>
                <w:sz w:val="20"/>
                <w:szCs w:val="20"/>
              </w:rPr>
              <w:t>.</w:t>
            </w:r>
            <w:r w:rsidR="00F03A2A" w:rsidRPr="007020CF">
              <w:rPr>
                <w:rFonts w:ascii="Lato Regular" w:hAnsi="Lato Regular"/>
                <w:sz w:val="20"/>
                <w:szCs w:val="20"/>
              </w:rPr>
              <w:t xml:space="preserve"> </w:t>
            </w:r>
          </w:p>
          <w:p w14:paraId="6C400A98" w14:textId="77777777" w:rsidR="00F03A2A" w:rsidRPr="007020CF" w:rsidRDefault="00F03A2A" w:rsidP="00BE6BE0">
            <w:pPr>
              <w:rPr>
                <w:rFonts w:ascii="Lato Regular" w:hAnsi="Lato Regular"/>
                <w:sz w:val="20"/>
                <w:szCs w:val="20"/>
              </w:rPr>
            </w:pPr>
          </w:p>
          <w:p w14:paraId="6FE358C9"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7FD202B0" w14:textId="773F5947" w:rsidR="00F03A2A" w:rsidRPr="007020CF" w:rsidRDefault="00F03A2A" w:rsidP="004C65D6">
            <w:pPr>
              <w:rPr>
                <w:rFonts w:ascii="Lato Regular" w:hAnsi="Lato Regular"/>
                <w:sz w:val="20"/>
                <w:szCs w:val="20"/>
              </w:rPr>
            </w:pPr>
            <w:proofErr w:type="spellStart"/>
            <w:r w:rsidRPr="007020CF">
              <w:rPr>
                <w:rFonts w:ascii="Lato Regular" w:hAnsi="Lato Regular"/>
                <w:sz w:val="20"/>
                <w:szCs w:val="20"/>
              </w:rPr>
              <w:t>IEC</w:t>
            </w:r>
            <w:proofErr w:type="spellEnd"/>
            <w:r w:rsidRPr="007020CF">
              <w:rPr>
                <w:rFonts w:ascii="Lato Regular" w:hAnsi="Lato Regular"/>
                <w:sz w:val="20"/>
                <w:szCs w:val="20"/>
              </w:rPr>
              <w:t xml:space="preserve"> materials on SRHR, </w:t>
            </w:r>
            <w:r w:rsidR="004C65D6">
              <w:rPr>
                <w:rFonts w:ascii="Lato Regular" w:hAnsi="Lato Regular"/>
                <w:sz w:val="20"/>
                <w:szCs w:val="20"/>
              </w:rPr>
              <w:t xml:space="preserve">feedback on </w:t>
            </w:r>
            <w:r w:rsidRPr="007020CF">
              <w:rPr>
                <w:rFonts w:ascii="Lato Regular" w:hAnsi="Lato Regular"/>
                <w:sz w:val="20"/>
                <w:szCs w:val="20"/>
              </w:rPr>
              <w:t>campaigns</w:t>
            </w:r>
            <w:r w:rsidR="004C65D6">
              <w:rPr>
                <w:rFonts w:ascii="Lato Regular" w:hAnsi="Lato Regular"/>
                <w:sz w:val="20"/>
                <w:szCs w:val="20"/>
              </w:rPr>
              <w:t>.</w:t>
            </w:r>
            <w:r w:rsidRPr="007020CF">
              <w:rPr>
                <w:rFonts w:ascii="Lato Regular" w:hAnsi="Lato Regular"/>
                <w:sz w:val="20"/>
                <w:szCs w:val="20"/>
              </w:rPr>
              <w:t xml:space="preserve"> </w:t>
            </w:r>
          </w:p>
        </w:tc>
        <w:tc>
          <w:tcPr>
            <w:tcW w:w="2693" w:type="dxa"/>
          </w:tcPr>
          <w:p w14:paraId="36BE1AE4"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361A6788" w14:textId="56E93B7B" w:rsidR="00F03A2A" w:rsidRPr="007020CF" w:rsidRDefault="00F03A2A" w:rsidP="00BE6BE0">
            <w:pPr>
              <w:rPr>
                <w:rFonts w:ascii="Lato Regular" w:hAnsi="Lato Regular"/>
                <w:sz w:val="20"/>
                <w:szCs w:val="20"/>
              </w:rPr>
            </w:pPr>
            <w:r w:rsidRPr="007020CF">
              <w:rPr>
                <w:rFonts w:ascii="Lato Regular" w:hAnsi="Lato Regular"/>
                <w:sz w:val="20"/>
                <w:szCs w:val="20"/>
              </w:rPr>
              <w:t xml:space="preserve">Evaluate </w:t>
            </w:r>
            <w:r w:rsidR="008B6418">
              <w:rPr>
                <w:rFonts w:ascii="Lato Regular" w:hAnsi="Lato Regular"/>
                <w:sz w:val="20"/>
                <w:szCs w:val="20"/>
              </w:rPr>
              <w:t>capacity devel</w:t>
            </w:r>
            <w:r w:rsidR="004C65D6">
              <w:rPr>
                <w:rFonts w:ascii="Lato Regular" w:hAnsi="Lato Regular"/>
                <w:sz w:val="20"/>
                <w:szCs w:val="20"/>
              </w:rPr>
              <w:t>opme</w:t>
            </w:r>
            <w:r w:rsidR="00B63EF9">
              <w:rPr>
                <w:rFonts w:ascii="Lato Regular" w:hAnsi="Lato Regular"/>
                <w:sz w:val="20"/>
                <w:szCs w:val="20"/>
              </w:rPr>
              <w:t xml:space="preserve">nt as part of final evaluation, as reflected in the application of this training in campaigns. </w:t>
            </w:r>
            <w:r w:rsidR="008B6418">
              <w:rPr>
                <w:rFonts w:ascii="Lato Regular" w:hAnsi="Lato Regular"/>
                <w:sz w:val="20"/>
                <w:szCs w:val="20"/>
              </w:rPr>
              <w:t xml:space="preserve"> </w:t>
            </w:r>
          </w:p>
          <w:p w14:paraId="5450FB9E" w14:textId="77777777" w:rsidR="004C65D6" w:rsidRDefault="004C65D6" w:rsidP="00BE6BE0">
            <w:pPr>
              <w:rPr>
                <w:rFonts w:ascii="Lato Regular" w:hAnsi="Lato Regular"/>
                <w:sz w:val="20"/>
                <w:szCs w:val="20"/>
              </w:rPr>
            </w:pPr>
          </w:p>
          <w:p w14:paraId="373D6A39"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4A20DBFB" w14:textId="0BCA1708" w:rsidR="00F03A2A" w:rsidRPr="007020CF" w:rsidRDefault="008B6418" w:rsidP="008B6418">
            <w:pPr>
              <w:rPr>
                <w:rFonts w:ascii="Lato Regular" w:hAnsi="Lato Regular"/>
                <w:sz w:val="20"/>
                <w:szCs w:val="20"/>
              </w:rPr>
            </w:pPr>
            <w:r>
              <w:rPr>
                <w:rFonts w:ascii="Lato Regular" w:hAnsi="Lato Regular"/>
                <w:sz w:val="20"/>
                <w:szCs w:val="20"/>
              </w:rPr>
              <w:lastRenderedPageBreak/>
              <w:t>Project e</w:t>
            </w:r>
            <w:r w:rsidR="00F03A2A" w:rsidRPr="007020CF">
              <w:rPr>
                <w:rFonts w:ascii="Lato Regular" w:hAnsi="Lato Regular"/>
                <w:sz w:val="20"/>
                <w:szCs w:val="20"/>
              </w:rPr>
              <w:t xml:space="preserve">valuation </w:t>
            </w:r>
          </w:p>
        </w:tc>
      </w:tr>
      <w:tr w:rsidR="00F03A2A" w:rsidRPr="007020CF" w14:paraId="4B78B5FC" w14:textId="77777777" w:rsidTr="00BE6BE0">
        <w:trPr>
          <w:trHeight w:val="727"/>
        </w:trPr>
        <w:tc>
          <w:tcPr>
            <w:tcW w:w="2255" w:type="dxa"/>
            <w:vMerge w:val="restart"/>
          </w:tcPr>
          <w:p w14:paraId="558A9A36" w14:textId="0B33938A" w:rsidR="00F03A2A" w:rsidRPr="007020CF" w:rsidRDefault="00F03A2A" w:rsidP="00BE6BE0">
            <w:pPr>
              <w:rPr>
                <w:rFonts w:ascii="Lato Regular" w:hAnsi="Lato Regular"/>
                <w:sz w:val="20"/>
                <w:szCs w:val="20"/>
              </w:rPr>
            </w:pPr>
            <w:proofErr w:type="spellStart"/>
            <w:r w:rsidRPr="007020CF">
              <w:rPr>
                <w:rFonts w:ascii="Lato Regular" w:hAnsi="Lato Regular"/>
                <w:sz w:val="20"/>
                <w:szCs w:val="20"/>
              </w:rPr>
              <w:lastRenderedPageBreak/>
              <w:t>MB1.1</w:t>
            </w:r>
            <w:proofErr w:type="spellEnd"/>
          </w:p>
          <w:p w14:paraId="414AEFBF" w14:textId="166D3C0F" w:rsidR="00F03A2A" w:rsidRPr="00F03A2A" w:rsidRDefault="004C65D6" w:rsidP="00BE6BE0">
            <w:pPr>
              <w:rPr>
                <w:rFonts w:ascii="Lato Regular" w:hAnsi="Lato Regular"/>
                <w:i/>
                <w:sz w:val="20"/>
                <w:szCs w:val="20"/>
              </w:rPr>
            </w:pPr>
            <w:r>
              <w:rPr>
                <w:rFonts w:ascii="Lato Regular" w:hAnsi="Lato Regular"/>
                <w:i/>
                <w:sz w:val="20"/>
                <w:szCs w:val="20"/>
              </w:rPr>
              <w:t xml:space="preserve">(2. </w:t>
            </w:r>
            <w:r w:rsidR="00F03A2A" w:rsidRPr="00F03A2A">
              <w:rPr>
                <w:rFonts w:ascii="Lato Regular" w:hAnsi="Lato Regular"/>
                <w:i/>
                <w:sz w:val="20"/>
                <w:szCs w:val="20"/>
              </w:rPr>
              <w:t>To lobby for progressive national SRHR policies in countries that do not have these and mount campaigns on pertinent campaigns such as teenage pregnancies, access to SRHR services, ending gender violence and abortion)</w:t>
            </w:r>
            <w:r w:rsidR="00F03A2A">
              <w:rPr>
                <w:rFonts w:ascii="Lato Regular" w:hAnsi="Lato Regular"/>
                <w:i/>
                <w:sz w:val="20"/>
                <w:szCs w:val="20"/>
              </w:rPr>
              <w:t>.</w:t>
            </w:r>
            <w:r w:rsidR="00F03A2A" w:rsidRPr="00F03A2A">
              <w:rPr>
                <w:rFonts w:ascii="Lato Regular" w:hAnsi="Lato Regular"/>
                <w:i/>
                <w:sz w:val="20"/>
                <w:szCs w:val="20"/>
              </w:rPr>
              <w:t xml:space="preserve"> </w:t>
            </w:r>
          </w:p>
        </w:tc>
        <w:tc>
          <w:tcPr>
            <w:tcW w:w="2551" w:type="dxa"/>
          </w:tcPr>
          <w:p w14:paraId="72DC3BF7" w14:textId="77777777" w:rsidR="00F03A2A" w:rsidRPr="007020CF" w:rsidRDefault="00F03A2A" w:rsidP="00BE6BE0">
            <w:pPr>
              <w:rPr>
                <w:rFonts w:ascii="Lato Regular" w:hAnsi="Lato Regular"/>
                <w:b/>
                <w:i/>
                <w:sz w:val="20"/>
                <w:szCs w:val="20"/>
                <w:highlight w:val="yellow"/>
              </w:rPr>
            </w:pPr>
            <w:r w:rsidRPr="007020CF">
              <w:rPr>
                <w:rFonts w:ascii="Lato Regular" w:hAnsi="Lato Regular" w:cs="Lucida Grande"/>
                <w:sz w:val="20"/>
                <w:szCs w:val="20"/>
                <w:highlight w:val="yellow"/>
              </w:rPr>
              <w:t xml:space="preserve">New evidence on SRHR generated, or existing evidence </w:t>
            </w:r>
            <w:proofErr w:type="gramStart"/>
            <w:r w:rsidRPr="007020CF">
              <w:rPr>
                <w:rFonts w:ascii="Lato Regular" w:hAnsi="Lato Regular" w:cs="Lucida Grande"/>
                <w:sz w:val="20"/>
                <w:szCs w:val="20"/>
                <w:highlight w:val="yellow"/>
              </w:rPr>
              <w:t>synthesised,</w:t>
            </w:r>
            <w:proofErr w:type="gramEnd"/>
            <w:r w:rsidRPr="007020CF">
              <w:rPr>
                <w:rFonts w:ascii="Lato Regular" w:hAnsi="Lato Regular" w:cs="Lucida Grande"/>
                <w:sz w:val="20"/>
                <w:szCs w:val="20"/>
                <w:highlight w:val="yellow"/>
              </w:rPr>
              <w:t xml:space="preserve"> or major gaps in SRHR knowledge/ attitudes/ behaviour synthesized, which</w:t>
            </w:r>
            <w:r w:rsidRPr="007020CF">
              <w:rPr>
                <w:rFonts w:ascii="Lato Regular" w:eastAsia="Times New Roman" w:hAnsi="Lato Regular"/>
                <w:sz w:val="20"/>
                <w:szCs w:val="20"/>
                <w:highlight w:val="yellow"/>
              </w:rPr>
              <w:t xml:space="preserve"> is used for evidence-based advocacy and policy engagement.</w:t>
            </w:r>
          </w:p>
        </w:tc>
        <w:tc>
          <w:tcPr>
            <w:tcW w:w="2268" w:type="dxa"/>
          </w:tcPr>
          <w:p w14:paraId="05F55ACF"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r>
              <w:rPr>
                <w:rFonts w:ascii="Lato Regular" w:hAnsi="Lato Regular"/>
                <w:sz w:val="20"/>
                <w:szCs w:val="20"/>
              </w:rPr>
              <w:t xml:space="preserve"> </w:t>
            </w:r>
          </w:p>
          <w:p w14:paraId="30A97637" w14:textId="5F68373B" w:rsidR="00F03A2A" w:rsidRPr="007020CF" w:rsidRDefault="004C65D6" w:rsidP="00BE6BE0">
            <w:pPr>
              <w:rPr>
                <w:rFonts w:ascii="Lato Regular" w:hAnsi="Lato Regular"/>
                <w:sz w:val="20"/>
                <w:szCs w:val="20"/>
              </w:rPr>
            </w:pPr>
            <w:r>
              <w:rPr>
                <w:rFonts w:ascii="Lato Regular" w:hAnsi="Lato Regular"/>
                <w:sz w:val="20"/>
                <w:szCs w:val="20"/>
              </w:rPr>
              <w:t xml:space="preserve">Progress on SRHR reflected </w:t>
            </w:r>
            <w:r w:rsidR="00C62EC8">
              <w:rPr>
                <w:rFonts w:ascii="Lato Regular" w:hAnsi="Lato Regular"/>
                <w:sz w:val="20"/>
                <w:szCs w:val="20"/>
              </w:rPr>
              <w:t xml:space="preserve">in baseline SRHR </w:t>
            </w:r>
            <w:r w:rsidR="00F03A2A" w:rsidRPr="007020CF">
              <w:rPr>
                <w:rFonts w:ascii="Lato Regular" w:hAnsi="Lato Regular"/>
                <w:sz w:val="20"/>
                <w:szCs w:val="20"/>
              </w:rPr>
              <w:t>Barometer launching the #</w:t>
            </w:r>
            <w:proofErr w:type="spellStart"/>
            <w:r w:rsidR="00F03A2A" w:rsidRPr="007020CF">
              <w:rPr>
                <w:rFonts w:ascii="Lato Regular" w:hAnsi="Lato Regular"/>
                <w:sz w:val="20"/>
                <w:szCs w:val="20"/>
              </w:rPr>
              <w:t>SheDecidesSouthern</w:t>
            </w:r>
            <w:proofErr w:type="spellEnd"/>
            <w:r w:rsidR="00F03A2A" w:rsidRPr="007020CF">
              <w:rPr>
                <w:rFonts w:ascii="Lato Regular" w:hAnsi="Lato Regular"/>
                <w:sz w:val="20"/>
                <w:szCs w:val="20"/>
              </w:rPr>
              <w:t xml:space="preserve"> Africa campaign </w:t>
            </w:r>
            <w:r w:rsidR="00C62EC8">
              <w:rPr>
                <w:rFonts w:ascii="Lato Regular" w:hAnsi="Lato Regular"/>
                <w:sz w:val="20"/>
                <w:szCs w:val="20"/>
              </w:rPr>
              <w:t xml:space="preserve">with Alliance cluster lead SAFAIDS. </w:t>
            </w:r>
          </w:p>
          <w:p w14:paraId="7028EC9A" w14:textId="77777777" w:rsidR="00F03A2A" w:rsidRPr="007020CF" w:rsidRDefault="00F03A2A" w:rsidP="00BE6BE0">
            <w:pPr>
              <w:rPr>
                <w:rFonts w:ascii="Lato Regular" w:hAnsi="Lato Regular"/>
                <w:sz w:val="20"/>
                <w:szCs w:val="20"/>
              </w:rPr>
            </w:pPr>
          </w:p>
          <w:p w14:paraId="6D09BADE"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2952B848" w14:textId="0DA3FFFC" w:rsidR="00F03A2A" w:rsidRPr="007020CF" w:rsidRDefault="00F03A2A" w:rsidP="00C62EC8">
            <w:pPr>
              <w:rPr>
                <w:rFonts w:ascii="Lato Regular" w:hAnsi="Lato Regular"/>
                <w:sz w:val="20"/>
                <w:szCs w:val="20"/>
              </w:rPr>
            </w:pPr>
            <w:r w:rsidRPr="007020CF">
              <w:rPr>
                <w:rFonts w:ascii="Lato Regular" w:hAnsi="Lato Regular"/>
                <w:sz w:val="20"/>
                <w:szCs w:val="20"/>
              </w:rPr>
              <w:t xml:space="preserve">SRHR Spotlight and </w:t>
            </w:r>
            <w:r w:rsidR="00C62EC8">
              <w:rPr>
                <w:rFonts w:ascii="Lato Regular" w:hAnsi="Lato Regular"/>
                <w:sz w:val="20"/>
                <w:szCs w:val="20"/>
              </w:rPr>
              <w:t xml:space="preserve">Baseline SRHR </w:t>
            </w:r>
            <w:r w:rsidRPr="007020CF">
              <w:rPr>
                <w:rFonts w:ascii="Lato Regular" w:hAnsi="Lato Regular"/>
                <w:sz w:val="20"/>
                <w:szCs w:val="20"/>
              </w:rPr>
              <w:t xml:space="preserve">Barometer (2018) </w:t>
            </w:r>
          </w:p>
        </w:tc>
        <w:tc>
          <w:tcPr>
            <w:tcW w:w="2410" w:type="dxa"/>
          </w:tcPr>
          <w:p w14:paraId="65746FB4"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r>
              <w:rPr>
                <w:rFonts w:ascii="Lato Regular" w:hAnsi="Lato Regular"/>
                <w:sz w:val="20"/>
                <w:szCs w:val="20"/>
              </w:rPr>
              <w:t xml:space="preserve"> </w:t>
            </w:r>
          </w:p>
          <w:p w14:paraId="56FA5505" w14:textId="7EBFE9BF" w:rsidR="00F03A2A" w:rsidRPr="007020CF" w:rsidRDefault="00C62EC8" w:rsidP="00BE6BE0">
            <w:pPr>
              <w:rPr>
                <w:rFonts w:ascii="Lato Regular" w:hAnsi="Lato Regular"/>
                <w:sz w:val="20"/>
                <w:szCs w:val="20"/>
              </w:rPr>
            </w:pPr>
            <w:r>
              <w:rPr>
                <w:rFonts w:ascii="Lato Regular" w:hAnsi="Lato Regular"/>
                <w:sz w:val="20"/>
                <w:szCs w:val="20"/>
              </w:rPr>
              <w:t xml:space="preserve">New evidence gathered for the annual SRHR Barometer </w:t>
            </w:r>
          </w:p>
          <w:p w14:paraId="5C9C7E53" w14:textId="77777777" w:rsidR="00F03A2A" w:rsidRDefault="00F03A2A" w:rsidP="00BE6BE0">
            <w:pPr>
              <w:rPr>
                <w:rFonts w:ascii="Lato Regular" w:hAnsi="Lato Regular"/>
                <w:sz w:val="20"/>
                <w:szCs w:val="20"/>
              </w:rPr>
            </w:pPr>
          </w:p>
          <w:p w14:paraId="210D970A" w14:textId="77777777" w:rsidR="00C62EC8" w:rsidRPr="007020CF" w:rsidRDefault="00C62EC8" w:rsidP="00BE6BE0">
            <w:pPr>
              <w:rPr>
                <w:rFonts w:ascii="Lato Regular" w:hAnsi="Lato Regular"/>
                <w:sz w:val="20"/>
                <w:szCs w:val="20"/>
              </w:rPr>
            </w:pPr>
          </w:p>
          <w:p w14:paraId="6BB07C0F" w14:textId="77777777" w:rsidR="00F23E5B" w:rsidRDefault="00F23E5B" w:rsidP="00BE6BE0">
            <w:pPr>
              <w:rPr>
                <w:rFonts w:ascii="Lato Regular" w:hAnsi="Lato Regular"/>
                <w:sz w:val="20"/>
                <w:szCs w:val="20"/>
              </w:rPr>
            </w:pPr>
          </w:p>
          <w:p w14:paraId="6C94352C" w14:textId="77777777" w:rsidR="00F23E5B" w:rsidRDefault="00F23E5B" w:rsidP="00BE6BE0">
            <w:pPr>
              <w:rPr>
                <w:rFonts w:ascii="Lato Regular" w:hAnsi="Lato Regular"/>
                <w:sz w:val="20"/>
                <w:szCs w:val="20"/>
              </w:rPr>
            </w:pPr>
          </w:p>
          <w:p w14:paraId="0CC8BE37" w14:textId="77777777" w:rsidR="00F23E5B" w:rsidRDefault="00F23E5B" w:rsidP="00BE6BE0">
            <w:pPr>
              <w:rPr>
                <w:rFonts w:ascii="Lato Regular" w:hAnsi="Lato Regular"/>
                <w:sz w:val="20"/>
                <w:szCs w:val="20"/>
              </w:rPr>
            </w:pPr>
          </w:p>
          <w:p w14:paraId="0C3606BF" w14:textId="77777777" w:rsidR="00F23E5B" w:rsidRDefault="00F23E5B" w:rsidP="00BE6BE0">
            <w:pPr>
              <w:rPr>
                <w:rFonts w:ascii="Lato Regular" w:hAnsi="Lato Regular"/>
                <w:sz w:val="20"/>
                <w:szCs w:val="20"/>
              </w:rPr>
            </w:pPr>
          </w:p>
          <w:p w14:paraId="7AA72A5D"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7A11276B" w14:textId="6A498203" w:rsidR="00F03A2A" w:rsidRPr="007020CF" w:rsidRDefault="00C62EC8" w:rsidP="00BE6BE0">
            <w:pPr>
              <w:rPr>
                <w:rFonts w:ascii="Lato Regular" w:hAnsi="Lato Regular"/>
                <w:sz w:val="20"/>
                <w:szCs w:val="20"/>
              </w:rPr>
            </w:pPr>
            <w:r>
              <w:rPr>
                <w:rFonts w:ascii="Lato Regular" w:hAnsi="Lato Regular"/>
                <w:sz w:val="20"/>
                <w:szCs w:val="20"/>
              </w:rPr>
              <w:t xml:space="preserve">Research reports and data </w:t>
            </w:r>
          </w:p>
        </w:tc>
        <w:tc>
          <w:tcPr>
            <w:tcW w:w="2552" w:type="dxa"/>
          </w:tcPr>
          <w:p w14:paraId="7F223AD0"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r>
              <w:rPr>
                <w:rFonts w:ascii="Lato Regular" w:hAnsi="Lato Regular"/>
                <w:sz w:val="20"/>
                <w:szCs w:val="20"/>
              </w:rPr>
              <w:t xml:space="preserve"> </w:t>
            </w:r>
          </w:p>
          <w:p w14:paraId="5F374302" w14:textId="71BC49CD" w:rsidR="00F03A2A" w:rsidRPr="007020CF" w:rsidRDefault="00C62EC8" w:rsidP="00BE6BE0">
            <w:pPr>
              <w:rPr>
                <w:rFonts w:ascii="Lato Regular" w:hAnsi="Lato Regular"/>
                <w:sz w:val="20"/>
                <w:szCs w:val="20"/>
              </w:rPr>
            </w:pPr>
            <w:r>
              <w:rPr>
                <w:rFonts w:ascii="Lato Regular" w:hAnsi="Lato Regular"/>
                <w:sz w:val="20"/>
                <w:szCs w:val="20"/>
              </w:rPr>
              <w:t xml:space="preserve">Progress on SRHR reflected in the gender indicators of the </w:t>
            </w:r>
            <w:r w:rsidR="00F03A2A" w:rsidRPr="007020CF">
              <w:rPr>
                <w:rFonts w:ascii="Lato Regular" w:hAnsi="Lato Regular"/>
                <w:sz w:val="20"/>
                <w:szCs w:val="20"/>
              </w:rPr>
              <w:t xml:space="preserve"> </w:t>
            </w:r>
            <w:r>
              <w:rPr>
                <w:rFonts w:ascii="Lato Regular" w:hAnsi="Lato Regular"/>
                <w:sz w:val="20"/>
                <w:szCs w:val="20"/>
              </w:rPr>
              <w:t xml:space="preserve">SRHR </w:t>
            </w:r>
            <w:r w:rsidR="00F03A2A" w:rsidRPr="007020CF">
              <w:rPr>
                <w:rFonts w:ascii="Lato Regular" w:hAnsi="Lato Regular"/>
                <w:sz w:val="20"/>
                <w:szCs w:val="20"/>
              </w:rPr>
              <w:t xml:space="preserve">Barometer </w:t>
            </w:r>
          </w:p>
          <w:p w14:paraId="661290E5" w14:textId="77777777" w:rsidR="00F03A2A" w:rsidRPr="007020CF" w:rsidRDefault="00F03A2A" w:rsidP="00BE6BE0">
            <w:pPr>
              <w:rPr>
                <w:rFonts w:ascii="Lato Regular" w:hAnsi="Lato Regular"/>
                <w:sz w:val="20"/>
                <w:szCs w:val="20"/>
              </w:rPr>
            </w:pPr>
          </w:p>
          <w:p w14:paraId="714D93FB" w14:textId="77777777" w:rsidR="00F03A2A" w:rsidRPr="007020CF" w:rsidRDefault="00F03A2A" w:rsidP="00BE6BE0">
            <w:pPr>
              <w:rPr>
                <w:rFonts w:ascii="Lato Regular" w:hAnsi="Lato Regular"/>
                <w:sz w:val="20"/>
                <w:szCs w:val="20"/>
              </w:rPr>
            </w:pPr>
          </w:p>
          <w:p w14:paraId="0FAD7ACC" w14:textId="77777777" w:rsidR="00F23E5B" w:rsidRDefault="00F23E5B" w:rsidP="00BE6BE0">
            <w:pPr>
              <w:rPr>
                <w:rFonts w:ascii="Lato Regular" w:hAnsi="Lato Regular"/>
                <w:sz w:val="20"/>
                <w:szCs w:val="20"/>
              </w:rPr>
            </w:pPr>
          </w:p>
          <w:p w14:paraId="0D4C9A70" w14:textId="77777777" w:rsidR="00F23E5B" w:rsidRDefault="00F23E5B" w:rsidP="00BE6BE0">
            <w:pPr>
              <w:rPr>
                <w:rFonts w:ascii="Lato Regular" w:hAnsi="Lato Regular"/>
                <w:sz w:val="20"/>
                <w:szCs w:val="20"/>
              </w:rPr>
            </w:pPr>
          </w:p>
          <w:p w14:paraId="4ECD6240" w14:textId="77777777" w:rsidR="00F23E5B" w:rsidRDefault="00F23E5B" w:rsidP="00BE6BE0">
            <w:pPr>
              <w:rPr>
                <w:rFonts w:ascii="Lato Regular" w:hAnsi="Lato Regular"/>
                <w:sz w:val="20"/>
                <w:szCs w:val="20"/>
              </w:rPr>
            </w:pPr>
          </w:p>
          <w:p w14:paraId="383F077E" w14:textId="77777777" w:rsidR="00F23E5B" w:rsidRDefault="00F23E5B" w:rsidP="00BE6BE0">
            <w:pPr>
              <w:rPr>
                <w:rFonts w:ascii="Lato Regular" w:hAnsi="Lato Regular"/>
                <w:sz w:val="20"/>
                <w:szCs w:val="20"/>
              </w:rPr>
            </w:pPr>
          </w:p>
          <w:p w14:paraId="4832E883"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640ECBD2" w14:textId="661578D4" w:rsidR="00F03A2A" w:rsidRPr="007020CF" w:rsidRDefault="00C62EC8" w:rsidP="00BE6BE0">
            <w:pPr>
              <w:rPr>
                <w:rFonts w:ascii="Lato Regular" w:hAnsi="Lato Regular"/>
                <w:sz w:val="20"/>
                <w:szCs w:val="20"/>
              </w:rPr>
            </w:pPr>
            <w:r>
              <w:rPr>
                <w:rFonts w:ascii="Lato Regular" w:hAnsi="Lato Regular"/>
                <w:sz w:val="20"/>
                <w:szCs w:val="20"/>
              </w:rPr>
              <w:t>SRHR Barometer  2019</w:t>
            </w:r>
            <w:r w:rsidR="00F03A2A" w:rsidRPr="007020CF">
              <w:rPr>
                <w:rFonts w:ascii="Lato Regular" w:hAnsi="Lato Regular"/>
                <w:sz w:val="20"/>
                <w:szCs w:val="20"/>
              </w:rPr>
              <w:t xml:space="preserve"> </w:t>
            </w:r>
          </w:p>
        </w:tc>
        <w:tc>
          <w:tcPr>
            <w:tcW w:w="2693" w:type="dxa"/>
          </w:tcPr>
          <w:p w14:paraId="26AE1626" w14:textId="77777777" w:rsidR="00F03A2A" w:rsidRDefault="00F03A2A" w:rsidP="00BE6BE0">
            <w:pPr>
              <w:rPr>
                <w:rFonts w:ascii="Lato Regular" w:hAnsi="Lato Regular"/>
                <w:sz w:val="20"/>
                <w:szCs w:val="20"/>
              </w:rPr>
            </w:pPr>
            <w:r w:rsidRPr="007020CF">
              <w:rPr>
                <w:rFonts w:ascii="Lato Regular" w:hAnsi="Lato Regular"/>
                <w:sz w:val="20"/>
                <w:szCs w:val="20"/>
              </w:rPr>
              <w:t>Milestone</w:t>
            </w:r>
            <w:r>
              <w:rPr>
                <w:rFonts w:ascii="Lato Regular" w:hAnsi="Lato Regular"/>
                <w:sz w:val="20"/>
                <w:szCs w:val="20"/>
              </w:rPr>
              <w:t xml:space="preserve"> </w:t>
            </w:r>
          </w:p>
          <w:p w14:paraId="7F9487FE"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Analysis of the extent to which new evidence has been applied to campaigns and impact of these campaigns. </w:t>
            </w:r>
          </w:p>
          <w:p w14:paraId="00321376" w14:textId="77777777" w:rsidR="00F03A2A" w:rsidRPr="007020CF" w:rsidRDefault="00F03A2A" w:rsidP="00BE6BE0">
            <w:pPr>
              <w:rPr>
                <w:rFonts w:ascii="Lato Regular" w:hAnsi="Lato Regular"/>
                <w:sz w:val="20"/>
                <w:szCs w:val="20"/>
              </w:rPr>
            </w:pPr>
          </w:p>
          <w:p w14:paraId="650F493C" w14:textId="77777777" w:rsidR="00F23E5B" w:rsidRDefault="00F23E5B" w:rsidP="00BE6BE0">
            <w:pPr>
              <w:rPr>
                <w:rFonts w:ascii="Lato Regular" w:hAnsi="Lato Regular"/>
                <w:sz w:val="20"/>
                <w:szCs w:val="20"/>
              </w:rPr>
            </w:pPr>
          </w:p>
          <w:p w14:paraId="1679622F" w14:textId="77777777" w:rsidR="00F23E5B" w:rsidRDefault="00F23E5B" w:rsidP="00BE6BE0">
            <w:pPr>
              <w:rPr>
                <w:rFonts w:ascii="Lato Regular" w:hAnsi="Lato Regular"/>
                <w:sz w:val="20"/>
                <w:szCs w:val="20"/>
              </w:rPr>
            </w:pPr>
          </w:p>
          <w:p w14:paraId="49B86151" w14:textId="77777777" w:rsidR="00F23E5B" w:rsidRDefault="00F23E5B" w:rsidP="00BE6BE0">
            <w:pPr>
              <w:rPr>
                <w:rFonts w:ascii="Lato Regular" w:hAnsi="Lato Regular"/>
                <w:sz w:val="20"/>
                <w:szCs w:val="20"/>
              </w:rPr>
            </w:pPr>
          </w:p>
          <w:p w14:paraId="1C2156D5"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460CEF5D"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Evaluation of the project. </w:t>
            </w:r>
          </w:p>
          <w:p w14:paraId="79479DAC" w14:textId="77777777" w:rsidR="00F03A2A" w:rsidRPr="007020CF" w:rsidRDefault="00F03A2A" w:rsidP="00BE6BE0">
            <w:pPr>
              <w:rPr>
                <w:rFonts w:ascii="Lato Regular" w:hAnsi="Lato Regular"/>
                <w:sz w:val="20"/>
                <w:szCs w:val="20"/>
              </w:rPr>
            </w:pPr>
          </w:p>
        </w:tc>
      </w:tr>
      <w:tr w:rsidR="00F03A2A" w:rsidRPr="007020CF" w14:paraId="3A9AD4D4" w14:textId="77777777" w:rsidTr="00BE6BE0">
        <w:trPr>
          <w:trHeight w:val="727"/>
        </w:trPr>
        <w:tc>
          <w:tcPr>
            <w:tcW w:w="2255" w:type="dxa"/>
            <w:vMerge/>
          </w:tcPr>
          <w:p w14:paraId="70EA70F7" w14:textId="77777777" w:rsidR="00F03A2A" w:rsidRPr="007020CF" w:rsidRDefault="00F03A2A" w:rsidP="00BE6BE0">
            <w:pPr>
              <w:rPr>
                <w:rFonts w:ascii="Lato Regular" w:hAnsi="Lato Regular"/>
                <w:sz w:val="20"/>
                <w:szCs w:val="20"/>
              </w:rPr>
            </w:pPr>
          </w:p>
        </w:tc>
        <w:tc>
          <w:tcPr>
            <w:tcW w:w="2551" w:type="dxa"/>
          </w:tcPr>
          <w:p w14:paraId="6CFCAD90" w14:textId="77777777" w:rsidR="00F03A2A" w:rsidRPr="007020CF" w:rsidRDefault="00F03A2A" w:rsidP="00BE6BE0">
            <w:pPr>
              <w:rPr>
                <w:rFonts w:ascii="Lato Regular" w:eastAsia="Times New Roman" w:hAnsi="Lato Regular"/>
                <w:color w:val="000000" w:themeColor="text1"/>
                <w:sz w:val="20"/>
                <w:szCs w:val="20"/>
                <w:highlight w:val="yellow"/>
              </w:rPr>
            </w:pPr>
            <w:r>
              <w:rPr>
                <w:rFonts w:ascii="Lato Regular" w:eastAsia="Times New Roman" w:hAnsi="Lato Regular"/>
                <w:sz w:val="20"/>
                <w:szCs w:val="20"/>
                <w:highlight w:val="yellow"/>
              </w:rPr>
              <w:t>AmplifyChange grantee</w:t>
            </w:r>
            <w:r w:rsidRPr="007B3741">
              <w:rPr>
                <w:rFonts w:ascii="Lato Regular" w:eastAsia="Times New Roman" w:hAnsi="Lato Regular"/>
                <w:sz w:val="20"/>
                <w:szCs w:val="20"/>
                <w:highlight w:val="yellow"/>
              </w:rPr>
              <w:t xml:space="preserve"> undertak</w:t>
            </w:r>
            <w:r>
              <w:rPr>
                <w:rFonts w:ascii="Lato Regular" w:eastAsia="Times New Roman" w:hAnsi="Lato Regular"/>
                <w:sz w:val="20"/>
                <w:szCs w:val="20"/>
                <w:highlight w:val="yellow"/>
              </w:rPr>
              <w:t>es</w:t>
            </w:r>
            <w:r w:rsidRPr="007B3741">
              <w:rPr>
                <w:rFonts w:ascii="Lato Regular" w:eastAsia="Times New Roman" w:hAnsi="Lato Regular"/>
                <w:sz w:val="20"/>
                <w:szCs w:val="20"/>
                <w:highlight w:val="yellow"/>
              </w:rPr>
              <w:t xml:space="preserve"> rigorous advocacy planning (including policy mapping, </w:t>
            </w:r>
            <w:r w:rsidRPr="007B3741">
              <w:rPr>
                <w:rFonts w:ascii="Lato Regular" w:eastAsia="Times New Roman" w:hAnsi="Lato Regular"/>
                <w:sz w:val="20"/>
                <w:szCs w:val="20"/>
                <w:highlight w:val="yellow"/>
              </w:rPr>
              <w:lastRenderedPageBreak/>
              <w:t>audience analysis, decision-making pathways in order to struct</w:t>
            </w:r>
            <w:r>
              <w:rPr>
                <w:rFonts w:ascii="Lato Regular" w:eastAsia="Times New Roman" w:hAnsi="Lato Regular"/>
                <w:sz w:val="20"/>
                <w:szCs w:val="20"/>
                <w:highlight w:val="yellow"/>
              </w:rPr>
              <w:t>ure and target advocacy activiti</w:t>
            </w:r>
            <w:r w:rsidRPr="007B3741">
              <w:rPr>
                <w:rFonts w:ascii="Lato Regular" w:eastAsia="Times New Roman" w:hAnsi="Lato Regular"/>
                <w:sz w:val="20"/>
                <w:szCs w:val="20"/>
                <w:highlight w:val="yellow"/>
              </w:rPr>
              <w:t>es logically) for SRHR policy change</w:t>
            </w:r>
          </w:p>
        </w:tc>
        <w:tc>
          <w:tcPr>
            <w:tcW w:w="2268" w:type="dxa"/>
          </w:tcPr>
          <w:p w14:paraId="653C9370" w14:textId="1AD3BFBB" w:rsidR="00F23E5B" w:rsidRDefault="00F23E5B" w:rsidP="008B6418">
            <w:pPr>
              <w:rPr>
                <w:rFonts w:ascii="Lato Regular" w:hAnsi="Lato Regular"/>
                <w:sz w:val="20"/>
                <w:szCs w:val="20"/>
              </w:rPr>
            </w:pPr>
            <w:r>
              <w:rPr>
                <w:rFonts w:ascii="Lato Regular" w:hAnsi="Lato Regular"/>
                <w:sz w:val="20"/>
                <w:szCs w:val="20"/>
              </w:rPr>
              <w:lastRenderedPageBreak/>
              <w:t xml:space="preserve">Milestone </w:t>
            </w:r>
          </w:p>
          <w:p w14:paraId="47CA425A" w14:textId="4273B340" w:rsidR="008B6418" w:rsidRPr="007020CF" w:rsidRDefault="007116F9" w:rsidP="008B6418">
            <w:pPr>
              <w:rPr>
                <w:rFonts w:ascii="Lato Regular" w:hAnsi="Lato Regular"/>
                <w:sz w:val="20"/>
                <w:szCs w:val="20"/>
              </w:rPr>
            </w:pPr>
            <w:r>
              <w:rPr>
                <w:rFonts w:ascii="Lato Regular" w:hAnsi="Lato Regular"/>
                <w:sz w:val="20"/>
                <w:szCs w:val="20"/>
              </w:rPr>
              <w:t>Use baseline indicators to agree on</w:t>
            </w:r>
            <w:r w:rsidR="00F23E5B">
              <w:rPr>
                <w:rFonts w:ascii="Lato Regular" w:hAnsi="Lato Regular"/>
                <w:sz w:val="20"/>
                <w:szCs w:val="20"/>
              </w:rPr>
              <w:t xml:space="preserve"> key campaigns regionally </w:t>
            </w:r>
            <w:r w:rsidR="00F23E5B">
              <w:rPr>
                <w:rFonts w:ascii="Lato Regular" w:hAnsi="Lato Regular"/>
                <w:sz w:val="20"/>
                <w:szCs w:val="20"/>
              </w:rPr>
              <w:lastRenderedPageBreak/>
              <w:t>and specifically for each country</w:t>
            </w:r>
            <w:r>
              <w:rPr>
                <w:rFonts w:ascii="Lato Regular" w:hAnsi="Lato Regular"/>
                <w:sz w:val="20"/>
                <w:szCs w:val="20"/>
              </w:rPr>
              <w:t xml:space="preserve"> </w:t>
            </w:r>
          </w:p>
          <w:p w14:paraId="095391CB" w14:textId="77777777" w:rsidR="00F03A2A" w:rsidRDefault="00F03A2A" w:rsidP="00BE6BE0">
            <w:pPr>
              <w:rPr>
                <w:rFonts w:ascii="Lato Regular" w:hAnsi="Lato Regular"/>
                <w:sz w:val="20"/>
                <w:szCs w:val="20"/>
              </w:rPr>
            </w:pPr>
          </w:p>
          <w:p w14:paraId="5E2F5456" w14:textId="77777777" w:rsidR="00BE7B79" w:rsidRDefault="00BE7B79" w:rsidP="00BE6BE0">
            <w:pPr>
              <w:rPr>
                <w:rFonts w:ascii="Lato Regular" w:hAnsi="Lato Regular"/>
                <w:sz w:val="20"/>
                <w:szCs w:val="20"/>
              </w:rPr>
            </w:pPr>
          </w:p>
          <w:p w14:paraId="660CC613" w14:textId="77777777" w:rsidR="00F23E5B" w:rsidRDefault="00F23E5B" w:rsidP="00BE6BE0">
            <w:pPr>
              <w:rPr>
                <w:rFonts w:ascii="Lato Regular" w:hAnsi="Lato Regular"/>
                <w:sz w:val="20"/>
                <w:szCs w:val="20"/>
              </w:rPr>
            </w:pPr>
            <w:r>
              <w:rPr>
                <w:rFonts w:ascii="Lato Regular" w:hAnsi="Lato Regular"/>
                <w:sz w:val="20"/>
                <w:szCs w:val="20"/>
              </w:rPr>
              <w:t xml:space="preserve">Means of verification </w:t>
            </w:r>
          </w:p>
          <w:p w14:paraId="349B547D" w14:textId="11A00F99" w:rsidR="00F23E5B" w:rsidRPr="007020CF" w:rsidRDefault="00F23E5B" w:rsidP="00BE6BE0">
            <w:pPr>
              <w:rPr>
                <w:rFonts w:ascii="Lato Regular" w:hAnsi="Lato Regular"/>
                <w:sz w:val="20"/>
                <w:szCs w:val="20"/>
              </w:rPr>
            </w:pPr>
            <w:r>
              <w:rPr>
                <w:rFonts w:ascii="Lato Regular" w:hAnsi="Lato Regular"/>
                <w:sz w:val="20"/>
                <w:szCs w:val="20"/>
              </w:rPr>
              <w:t xml:space="preserve">Campaign strategy </w:t>
            </w:r>
          </w:p>
        </w:tc>
        <w:tc>
          <w:tcPr>
            <w:tcW w:w="2410" w:type="dxa"/>
          </w:tcPr>
          <w:p w14:paraId="486F1D9C" w14:textId="77777777" w:rsidR="00F03A2A" w:rsidRDefault="00F23E5B" w:rsidP="00BE6BE0">
            <w:pPr>
              <w:rPr>
                <w:rFonts w:ascii="Lato Regular" w:hAnsi="Lato Regular"/>
                <w:sz w:val="20"/>
                <w:szCs w:val="20"/>
              </w:rPr>
            </w:pPr>
            <w:r>
              <w:rPr>
                <w:rFonts w:ascii="Lato Regular" w:hAnsi="Lato Regular"/>
                <w:sz w:val="20"/>
                <w:szCs w:val="20"/>
              </w:rPr>
              <w:lastRenderedPageBreak/>
              <w:t xml:space="preserve">Milestone </w:t>
            </w:r>
          </w:p>
          <w:p w14:paraId="259B20F9" w14:textId="2C6015C9" w:rsidR="00F23E5B" w:rsidRDefault="00BE7B79" w:rsidP="00BE6BE0">
            <w:pPr>
              <w:rPr>
                <w:rFonts w:ascii="Lato Regular" w:hAnsi="Lato Regular"/>
                <w:sz w:val="20"/>
                <w:szCs w:val="20"/>
              </w:rPr>
            </w:pPr>
            <w:r>
              <w:rPr>
                <w:rFonts w:ascii="Lato Regular" w:hAnsi="Lato Regular"/>
                <w:sz w:val="20"/>
                <w:szCs w:val="20"/>
              </w:rPr>
              <w:t xml:space="preserve">Define key messages for </w:t>
            </w:r>
            <w:r w:rsidR="00F23E5B">
              <w:rPr>
                <w:rFonts w:ascii="Lato Regular" w:hAnsi="Lato Regular"/>
                <w:sz w:val="20"/>
                <w:szCs w:val="20"/>
              </w:rPr>
              <w:t xml:space="preserve">campaigns </w:t>
            </w:r>
            <w:proofErr w:type="spellStart"/>
            <w:r w:rsidR="00F23E5B">
              <w:rPr>
                <w:rFonts w:ascii="Lato Regular" w:hAnsi="Lato Regular"/>
                <w:sz w:val="20"/>
                <w:szCs w:val="20"/>
              </w:rPr>
              <w:t>eg</w:t>
            </w:r>
            <w:proofErr w:type="spellEnd"/>
            <w:r w:rsidR="00F23E5B">
              <w:rPr>
                <w:rFonts w:ascii="Lato Regular" w:hAnsi="Lato Regular"/>
                <w:sz w:val="20"/>
                <w:szCs w:val="20"/>
              </w:rPr>
              <w:t xml:space="preserve"> </w:t>
            </w:r>
            <w:r w:rsidR="00F23E5B" w:rsidRPr="00F03A2A">
              <w:rPr>
                <w:rFonts w:ascii="Lato Regular" w:hAnsi="Lato Regular"/>
                <w:i/>
                <w:sz w:val="20"/>
                <w:szCs w:val="20"/>
              </w:rPr>
              <w:t xml:space="preserve">teenage pregnancies, access to </w:t>
            </w:r>
            <w:r w:rsidR="00F23E5B" w:rsidRPr="00F03A2A">
              <w:rPr>
                <w:rFonts w:ascii="Lato Regular" w:hAnsi="Lato Regular"/>
                <w:i/>
                <w:sz w:val="20"/>
                <w:szCs w:val="20"/>
              </w:rPr>
              <w:lastRenderedPageBreak/>
              <w:t>SRHR services, ending gender violence and abortion</w:t>
            </w:r>
          </w:p>
          <w:p w14:paraId="59339739" w14:textId="77777777" w:rsidR="00F23E5B" w:rsidRDefault="00F23E5B" w:rsidP="00BE6BE0">
            <w:pPr>
              <w:rPr>
                <w:rFonts w:ascii="Lato Regular" w:hAnsi="Lato Regular"/>
                <w:sz w:val="20"/>
                <w:szCs w:val="20"/>
              </w:rPr>
            </w:pPr>
          </w:p>
          <w:p w14:paraId="2B3D538E" w14:textId="77777777" w:rsidR="00F23E5B" w:rsidRDefault="00F23E5B" w:rsidP="00BE6BE0">
            <w:pPr>
              <w:rPr>
                <w:rFonts w:ascii="Lato Regular" w:hAnsi="Lato Regular"/>
                <w:sz w:val="20"/>
                <w:szCs w:val="20"/>
              </w:rPr>
            </w:pPr>
            <w:r>
              <w:rPr>
                <w:rFonts w:ascii="Lato Regular" w:hAnsi="Lato Regular"/>
                <w:sz w:val="20"/>
                <w:szCs w:val="20"/>
              </w:rPr>
              <w:t xml:space="preserve">Means of verification </w:t>
            </w:r>
          </w:p>
          <w:p w14:paraId="46051DE5" w14:textId="6AE825E6" w:rsidR="00F23E5B" w:rsidRPr="007020CF" w:rsidRDefault="00BE7B79" w:rsidP="00BE6BE0">
            <w:pPr>
              <w:rPr>
                <w:rFonts w:ascii="Lato Regular" w:hAnsi="Lato Regular"/>
                <w:sz w:val="20"/>
                <w:szCs w:val="20"/>
              </w:rPr>
            </w:pPr>
            <w:proofErr w:type="spellStart"/>
            <w:r>
              <w:rPr>
                <w:rFonts w:ascii="Lato Regular" w:hAnsi="Lato Regular"/>
                <w:sz w:val="20"/>
                <w:szCs w:val="20"/>
              </w:rPr>
              <w:t>IEC</w:t>
            </w:r>
            <w:proofErr w:type="spellEnd"/>
            <w:r>
              <w:rPr>
                <w:rFonts w:ascii="Lato Regular" w:hAnsi="Lato Regular"/>
                <w:sz w:val="20"/>
                <w:szCs w:val="20"/>
              </w:rPr>
              <w:t xml:space="preserve"> materials </w:t>
            </w:r>
          </w:p>
        </w:tc>
        <w:tc>
          <w:tcPr>
            <w:tcW w:w="2552" w:type="dxa"/>
          </w:tcPr>
          <w:p w14:paraId="6DC213E5" w14:textId="77777777" w:rsidR="00F03A2A" w:rsidRDefault="00F23E5B" w:rsidP="00BE6BE0">
            <w:pPr>
              <w:rPr>
                <w:rFonts w:ascii="Lato Regular" w:hAnsi="Lato Regular"/>
                <w:sz w:val="20"/>
                <w:szCs w:val="20"/>
              </w:rPr>
            </w:pPr>
            <w:r>
              <w:rPr>
                <w:rFonts w:ascii="Lato Regular" w:hAnsi="Lato Regular"/>
                <w:sz w:val="20"/>
                <w:szCs w:val="20"/>
              </w:rPr>
              <w:lastRenderedPageBreak/>
              <w:t xml:space="preserve">Milestone </w:t>
            </w:r>
          </w:p>
          <w:p w14:paraId="58C34533" w14:textId="77777777" w:rsidR="00F23E5B" w:rsidRDefault="00BE7B79" w:rsidP="00BE6BE0">
            <w:pPr>
              <w:rPr>
                <w:rFonts w:ascii="Lato Regular" w:hAnsi="Lato Regular"/>
                <w:sz w:val="20"/>
                <w:szCs w:val="20"/>
              </w:rPr>
            </w:pPr>
            <w:r>
              <w:rPr>
                <w:rFonts w:ascii="Lato Regular" w:hAnsi="Lato Regular"/>
                <w:sz w:val="20"/>
                <w:szCs w:val="20"/>
              </w:rPr>
              <w:t xml:space="preserve">Hold SRHR campaigns through the Community of Practice, social media and </w:t>
            </w:r>
            <w:r>
              <w:rPr>
                <w:rFonts w:ascii="Lato Regular" w:hAnsi="Lato Regular"/>
                <w:sz w:val="20"/>
                <w:szCs w:val="20"/>
              </w:rPr>
              <w:lastRenderedPageBreak/>
              <w:t xml:space="preserve">web-based platforms  </w:t>
            </w:r>
          </w:p>
          <w:p w14:paraId="5642AD30" w14:textId="77777777" w:rsidR="00BE7B79" w:rsidRDefault="00BE7B79" w:rsidP="00BE6BE0">
            <w:pPr>
              <w:rPr>
                <w:rFonts w:ascii="Lato Regular" w:hAnsi="Lato Regular"/>
                <w:sz w:val="20"/>
                <w:szCs w:val="20"/>
              </w:rPr>
            </w:pPr>
          </w:p>
          <w:p w14:paraId="56FAE759" w14:textId="77777777" w:rsidR="00BE7B79" w:rsidRDefault="00BE7B79" w:rsidP="00BE6BE0">
            <w:pPr>
              <w:rPr>
                <w:rFonts w:ascii="Lato Regular" w:hAnsi="Lato Regular"/>
                <w:sz w:val="20"/>
                <w:szCs w:val="20"/>
              </w:rPr>
            </w:pPr>
          </w:p>
          <w:p w14:paraId="728A2429" w14:textId="77777777" w:rsidR="00BE7B79" w:rsidRDefault="00BE7B79" w:rsidP="00BE6BE0">
            <w:pPr>
              <w:rPr>
                <w:rFonts w:ascii="Lato Regular" w:hAnsi="Lato Regular"/>
                <w:sz w:val="20"/>
                <w:szCs w:val="20"/>
              </w:rPr>
            </w:pPr>
          </w:p>
          <w:p w14:paraId="389A2923" w14:textId="77777777" w:rsidR="00BE7B79" w:rsidRDefault="00BE7B79" w:rsidP="00BE6BE0">
            <w:pPr>
              <w:rPr>
                <w:rFonts w:ascii="Lato Regular" w:hAnsi="Lato Regular"/>
                <w:sz w:val="20"/>
                <w:szCs w:val="20"/>
              </w:rPr>
            </w:pPr>
            <w:r>
              <w:rPr>
                <w:rFonts w:ascii="Lato Regular" w:hAnsi="Lato Regular"/>
                <w:sz w:val="20"/>
                <w:szCs w:val="20"/>
              </w:rPr>
              <w:t xml:space="preserve">Means of verification </w:t>
            </w:r>
          </w:p>
          <w:p w14:paraId="1BBABAB5" w14:textId="65997BC8" w:rsidR="00BC5BEF" w:rsidRDefault="00BC5BEF" w:rsidP="00BE6BE0">
            <w:pPr>
              <w:rPr>
                <w:rFonts w:ascii="Lato Regular" w:hAnsi="Lato Regular"/>
                <w:sz w:val="20"/>
                <w:szCs w:val="20"/>
              </w:rPr>
            </w:pPr>
            <w:r>
              <w:rPr>
                <w:rFonts w:ascii="Lato Regular" w:hAnsi="Lato Regular"/>
                <w:sz w:val="20"/>
                <w:szCs w:val="20"/>
              </w:rPr>
              <w:t xml:space="preserve">Media and social media statistics </w:t>
            </w:r>
          </w:p>
          <w:p w14:paraId="4D58B5E7" w14:textId="613C37A3" w:rsidR="00BE7B79" w:rsidRPr="007020CF" w:rsidRDefault="00BE7B79" w:rsidP="00BE6BE0">
            <w:pPr>
              <w:rPr>
                <w:rFonts w:ascii="Lato Regular" w:hAnsi="Lato Regular"/>
                <w:sz w:val="20"/>
                <w:szCs w:val="20"/>
              </w:rPr>
            </w:pPr>
          </w:p>
        </w:tc>
        <w:tc>
          <w:tcPr>
            <w:tcW w:w="2693" w:type="dxa"/>
          </w:tcPr>
          <w:p w14:paraId="31D1184A" w14:textId="3D9D9AC9" w:rsidR="00BC5BEF" w:rsidRDefault="00BC5BEF" w:rsidP="00F23E5B">
            <w:pPr>
              <w:rPr>
                <w:rFonts w:ascii="Lato Regular" w:hAnsi="Lato Regular"/>
                <w:sz w:val="20"/>
                <w:szCs w:val="20"/>
              </w:rPr>
            </w:pPr>
            <w:r>
              <w:rPr>
                <w:rFonts w:ascii="Lato Regular" w:hAnsi="Lato Regular"/>
                <w:sz w:val="20"/>
                <w:szCs w:val="20"/>
              </w:rPr>
              <w:lastRenderedPageBreak/>
              <w:t xml:space="preserve">Milestone </w:t>
            </w:r>
          </w:p>
          <w:p w14:paraId="3DCA7900" w14:textId="77777777" w:rsidR="00CA51FF" w:rsidRDefault="00BC5BEF" w:rsidP="00F23E5B">
            <w:pPr>
              <w:rPr>
                <w:rFonts w:ascii="Lato Regular" w:hAnsi="Lato Regular"/>
                <w:sz w:val="20"/>
                <w:szCs w:val="20"/>
              </w:rPr>
            </w:pPr>
            <w:r>
              <w:rPr>
                <w:rFonts w:ascii="Lato Regular" w:hAnsi="Lato Regular"/>
                <w:sz w:val="20"/>
                <w:szCs w:val="20"/>
              </w:rPr>
              <w:t xml:space="preserve">Targeted campaigns bring about measurable progress in changing policies </w:t>
            </w:r>
            <w:r w:rsidR="00CA51FF">
              <w:rPr>
                <w:rFonts w:ascii="Lato Regular" w:hAnsi="Lato Regular"/>
                <w:sz w:val="20"/>
                <w:szCs w:val="20"/>
              </w:rPr>
              <w:t xml:space="preserve">on key SRHR </w:t>
            </w:r>
            <w:r w:rsidR="00CA51FF">
              <w:rPr>
                <w:rFonts w:ascii="Lato Regular" w:hAnsi="Lato Regular"/>
                <w:sz w:val="20"/>
                <w:szCs w:val="20"/>
              </w:rPr>
              <w:lastRenderedPageBreak/>
              <w:t xml:space="preserve">issues. </w:t>
            </w:r>
          </w:p>
          <w:p w14:paraId="21F060D4" w14:textId="77777777" w:rsidR="00CA51FF" w:rsidRDefault="00CA51FF" w:rsidP="00F23E5B">
            <w:pPr>
              <w:rPr>
                <w:rFonts w:ascii="Lato Regular" w:hAnsi="Lato Regular"/>
                <w:sz w:val="20"/>
                <w:szCs w:val="20"/>
              </w:rPr>
            </w:pPr>
          </w:p>
          <w:p w14:paraId="1DBF5C64" w14:textId="77777777" w:rsidR="00CA51FF" w:rsidRDefault="00CA51FF" w:rsidP="00F23E5B">
            <w:pPr>
              <w:rPr>
                <w:rFonts w:ascii="Lato Regular" w:hAnsi="Lato Regular"/>
                <w:sz w:val="20"/>
                <w:szCs w:val="20"/>
              </w:rPr>
            </w:pPr>
          </w:p>
          <w:p w14:paraId="514824B8" w14:textId="77777777" w:rsidR="00CA51FF" w:rsidRDefault="00CA51FF" w:rsidP="00F23E5B">
            <w:pPr>
              <w:rPr>
                <w:rFonts w:ascii="Lato Regular" w:hAnsi="Lato Regular"/>
                <w:sz w:val="20"/>
                <w:szCs w:val="20"/>
              </w:rPr>
            </w:pPr>
          </w:p>
          <w:p w14:paraId="45733316" w14:textId="77777777" w:rsidR="00CA51FF" w:rsidRDefault="00CA51FF" w:rsidP="00F23E5B">
            <w:pPr>
              <w:rPr>
                <w:rFonts w:ascii="Lato Regular" w:hAnsi="Lato Regular"/>
                <w:sz w:val="20"/>
                <w:szCs w:val="20"/>
              </w:rPr>
            </w:pPr>
            <w:r>
              <w:rPr>
                <w:rFonts w:ascii="Lato Regular" w:hAnsi="Lato Regular"/>
                <w:sz w:val="20"/>
                <w:szCs w:val="20"/>
              </w:rPr>
              <w:t xml:space="preserve">Means of verification </w:t>
            </w:r>
          </w:p>
          <w:p w14:paraId="4C3C266C" w14:textId="78244177" w:rsidR="00F03A2A" w:rsidRPr="007020CF" w:rsidRDefault="00CA51FF" w:rsidP="00F23E5B">
            <w:pPr>
              <w:rPr>
                <w:rFonts w:ascii="Lato Regular" w:hAnsi="Lato Regular"/>
                <w:sz w:val="20"/>
                <w:szCs w:val="20"/>
              </w:rPr>
            </w:pPr>
            <w:r>
              <w:rPr>
                <w:rFonts w:ascii="Lato Regular" w:hAnsi="Lato Regular"/>
                <w:sz w:val="20"/>
                <w:szCs w:val="20"/>
              </w:rPr>
              <w:t xml:space="preserve">Policy changes and feedback on campaigns.   </w:t>
            </w:r>
            <w:r w:rsidR="00BC5BEF">
              <w:rPr>
                <w:rFonts w:ascii="Lato Regular" w:hAnsi="Lato Regular"/>
                <w:sz w:val="20"/>
                <w:szCs w:val="20"/>
              </w:rPr>
              <w:t xml:space="preserve"> </w:t>
            </w:r>
          </w:p>
        </w:tc>
      </w:tr>
      <w:tr w:rsidR="00F03A2A" w:rsidRPr="007020CF" w14:paraId="15054ED7" w14:textId="77777777" w:rsidTr="00CA51FF">
        <w:trPr>
          <w:trHeight w:val="70"/>
        </w:trPr>
        <w:tc>
          <w:tcPr>
            <w:tcW w:w="2255" w:type="dxa"/>
          </w:tcPr>
          <w:p w14:paraId="60E38974" w14:textId="1B90CA59" w:rsidR="00F03A2A" w:rsidRPr="007020CF" w:rsidRDefault="00F03A2A" w:rsidP="00BE6BE0">
            <w:pPr>
              <w:rPr>
                <w:rFonts w:ascii="Lato Regular" w:hAnsi="Lato Regular"/>
                <w:sz w:val="20"/>
                <w:szCs w:val="20"/>
              </w:rPr>
            </w:pPr>
            <w:proofErr w:type="spellStart"/>
            <w:r w:rsidRPr="007020CF">
              <w:rPr>
                <w:rFonts w:ascii="Lato Regular" w:hAnsi="Lato Regular"/>
                <w:sz w:val="20"/>
                <w:szCs w:val="20"/>
              </w:rPr>
              <w:lastRenderedPageBreak/>
              <w:t>PL2.1</w:t>
            </w:r>
            <w:proofErr w:type="spellEnd"/>
          </w:p>
        </w:tc>
        <w:tc>
          <w:tcPr>
            <w:tcW w:w="2551" w:type="dxa"/>
          </w:tcPr>
          <w:p w14:paraId="141D0913" w14:textId="77777777" w:rsidR="00F03A2A" w:rsidRPr="007020CF" w:rsidRDefault="00F03A2A" w:rsidP="00BE6BE0">
            <w:pPr>
              <w:rPr>
                <w:rFonts w:ascii="Lato Regular" w:hAnsi="Lato Regular" w:cs="Lucida Grande"/>
                <w:sz w:val="20"/>
                <w:szCs w:val="20"/>
                <w:highlight w:val="yellow"/>
              </w:rPr>
            </w:pPr>
            <w:r w:rsidRPr="007020CF">
              <w:rPr>
                <w:rFonts w:ascii="Lato Regular" w:eastAsia="Times New Roman" w:hAnsi="Lato Regular"/>
                <w:color w:val="000000" w:themeColor="text1"/>
                <w:sz w:val="20"/>
                <w:szCs w:val="20"/>
                <w:highlight w:val="yellow"/>
              </w:rPr>
              <w:t xml:space="preserve">National policies, laws, budget allocations improved by civil society engagement (These include the introduction of new and or improved policies, or the mitigation of negative policies, all to create a more favourable policy environment for SRHR) </w:t>
            </w:r>
          </w:p>
        </w:tc>
        <w:tc>
          <w:tcPr>
            <w:tcW w:w="2268" w:type="dxa"/>
          </w:tcPr>
          <w:p w14:paraId="7B2E635E" w14:textId="77777777" w:rsidR="00C62EC8" w:rsidRPr="007020CF" w:rsidRDefault="00C62EC8" w:rsidP="00C62EC8">
            <w:pPr>
              <w:rPr>
                <w:rFonts w:ascii="Lato Regular" w:hAnsi="Lato Regular"/>
                <w:sz w:val="20"/>
                <w:szCs w:val="20"/>
              </w:rPr>
            </w:pPr>
            <w:r w:rsidRPr="007020CF">
              <w:rPr>
                <w:rFonts w:ascii="Lato Regular" w:hAnsi="Lato Regular"/>
                <w:sz w:val="20"/>
                <w:szCs w:val="20"/>
              </w:rPr>
              <w:t>Milestone</w:t>
            </w:r>
          </w:p>
          <w:p w14:paraId="3DA71465" w14:textId="2D27675A" w:rsidR="00C62EC8" w:rsidRPr="007020CF" w:rsidRDefault="00C62EC8" w:rsidP="00C62EC8">
            <w:pPr>
              <w:rPr>
                <w:rFonts w:ascii="Lato Regular" w:hAnsi="Lato Regular"/>
                <w:sz w:val="20"/>
                <w:szCs w:val="20"/>
              </w:rPr>
            </w:pPr>
            <w:r w:rsidRPr="007020CF">
              <w:rPr>
                <w:rFonts w:ascii="Lato Regular" w:hAnsi="Lato Regular"/>
                <w:sz w:val="20"/>
                <w:szCs w:val="20"/>
              </w:rPr>
              <w:t>Mapping of SRHR policies and laws by country in the SADC region</w:t>
            </w:r>
            <w:r w:rsidR="00CA51FF">
              <w:rPr>
                <w:rFonts w:ascii="Lato Regular" w:hAnsi="Lato Regular"/>
                <w:sz w:val="20"/>
                <w:szCs w:val="20"/>
              </w:rPr>
              <w:t>.</w:t>
            </w:r>
            <w:r w:rsidRPr="007020CF">
              <w:rPr>
                <w:rFonts w:ascii="Lato Regular" w:hAnsi="Lato Regular"/>
                <w:sz w:val="20"/>
                <w:szCs w:val="20"/>
              </w:rPr>
              <w:t xml:space="preserve"> </w:t>
            </w:r>
          </w:p>
          <w:p w14:paraId="4DC63B49" w14:textId="77777777" w:rsidR="00C62EC8" w:rsidRPr="007020CF" w:rsidRDefault="00C62EC8" w:rsidP="00C62EC8">
            <w:pPr>
              <w:rPr>
                <w:rFonts w:ascii="Lato Regular" w:hAnsi="Lato Regular"/>
                <w:sz w:val="20"/>
                <w:szCs w:val="20"/>
              </w:rPr>
            </w:pPr>
          </w:p>
          <w:p w14:paraId="0071A374" w14:textId="77777777" w:rsidR="00CA51FF" w:rsidRDefault="00CA51FF" w:rsidP="00C62EC8">
            <w:pPr>
              <w:rPr>
                <w:rFonts w:ascii="Lato Regular" w:hAnsi="Lato Regular"/>
                <w:sz w:val="20"/>
                <w:szCs w:val="20"/>
              </w:rPr>
            </w:pPr>
          </w:p>
          <w:p w14:paraId="48DD3C21" w14:textId="77777777" w:rsidR="00C62EC8" w:rsidRPr="007020CF" w:rsidRDefault="00C62EC8" w:rsidP="00C62EC8">
            <w:pPr>
              <w:rPr>
                <w:rFonts w:ascii="Lato Regular" w:hAnsi="Lato Regular"/>
                <w:sz w:val="20"/>
                <w:szCs w:val="20"/>
              </w:rPr>
            </w:pPr>
            <w:r w:rsidRPr="007020CF">
              <w:rPr>
                <w:rFonts w:ascii="Lato Regular" w:hAnsi="Lato Regular"/>
                <w:sz w:val="20"/>
                <w:szCs w:val="20"/>
              </w:rPr>
              <w:t>Means of Verification:</w:t>
            </w:r>
          </w:p>
          <w:p w14:paraId="4EBBAAB1" w14:textId="3CC2A0DC" w:rsidR="00F03A2A" w:rsidRPr="007020CF" w:rsidRDefault="00C62EC8" w:rsidP="00CA51FF">
            <w:pPr>
              <w:rPr>
                <w:rFonts w:ascii="Lato Regular" w:hAnsi="Lato Regular"/>
                <w:sz w:val="20"/>
                <w:szCs w:val="20"/>
              </w:rPr>
            </w:pPr>
            <w:r w:rsidRPr="007020CF">
              <w:rPr>
                <w:rFonts w:ascii="Lato Regular" w:hAnsi="Lato Regular"/>
                <w:sz w:val="20"/>
                <w:szCs w:val="20"/>
              </w:rPr>
              <w:t xml:space="preserve">Report reflecting the countries with SRHR policies and their </w:t>
            </w:r>
            <w:r w:rsidRPr="007020CF">
              <w:rPr>
                <w:rFonts w:ascii="Lato Regular" w:hAnsi="Lato Regular"/>
                <w:sz w:val="20"/>
                <w:szCs w:val="20"/>
              </w:rPr>
              <w:lastRenderedPageBreak/>
              <w:t>contents</w:t>
            </w:r>
            <w:r w:rsidR="00CA51FF">
              <w:rPr>
                <w:rFonts w:ascii="Lato Regular" w:hAnsi="Lato Regular"/>
                <w:sz w:val="20"/>
                <w:szCs w:val="20"/>
              </w:rPr>
              <w:t>.</w:t>
            </w:r>
            <w:r w:rsidRPr="007020CF">
              <w:rPr>
                <w:rFonts w:ascii="Lato Regular" w:hAnsi="Lato Regular"/>
                <w:sz w:val="20"/>
                <w:szCs w:val="20"/>
              </w:rPr>
              <w:t xml:space="preserve"> </w:t>
            </w:r>
          </w:p>
        </w:tc>
        <w:tc>
          <w:tcPr>
            <w:tcW w:w="2410" w:type="dxa"/>
          </w:tcPr>
          <w:p w14:paraId="10901C73" w14:textId="77777777" w:rsidR="00F03A2A" w:rsidRPr="007020CF" w:rsidRDefault="00F03A2A" w:rsidP="00BE6BE0">
            <w:pPr>
              <w:rPr>
                <w:rFonts w:ascii="Lato Regular" w:hAnsi="Lato Regular"/>
                <w:sz w:val="20"/>
                <w:szCs w:val="20"/>
              </w:rPr>
            </w:pPr>
            <w:r w:rsidRPr="007020CF">
              <w:rPr>
                <w:rFonts w:ascii="Lato Regular" w:hAnsi="Lato Regular"/>
                <w:sz w:val="20"/>
                <w:szCs w:val="20"/>
              </w:rPr>
              <w:lastRenderedPageBreak/>
              <w:t>Milestone</w:t>
            </w:r>
          </w:p>
          <w:p w14:paraId="03A01A95"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Development of a check list of a model SRHR policy; hold SRHR side events at international, regional and continental platforms.  </w:t>
            </w:r>
          </w:p>
          <w:p w14:paraId="1CAE36E5"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627CBA0B" w14:textId="5D91FEC0" w:rsidR="00F03A2A" w:rsidRPr="007020CF" w:rsidRDefault="00F03A2A" w:rsidP="00CA51FF">
            <w:pPr>
              <w:rPr>
                <w:rFonts w:ascii="Lato Regular" w:hAnsi="Lato Regular"/>
                <w:sz w:val="20"/>
                <w:szCs w:val="20"/>
              </w:rPr>
            </w:pPr>
            <w:r w:rsidRPr="007020CF">
              <w:rPr>
                <w:rFonts w:ascii="Lato Regular" w:hAnsi="Lato Regular"/>
                <w:sz w:val="20"/>
                <w:szCs w:val="20"/>
              </w:rPr>
              <w:t xml:space="preserve">SRHR </w:t>
            </w:r>
            <w:r w:rsidR="00CA51FF">
              <w:rPr>
                <w:rFonts w:ascii="Lato Regular" w:hAnsi="Lato Regular"/>
                <w:sz w:val="20"/>
                <w:szCs w:val="20"/>
              </w:rPr>
              <w:t xml:space="preserve">Guidelines </w:t>
            </w:r>
            <w:r w:rsidRPr="007020CF">
              <w:rPr>
                <w:rFonts w:ascii="Lato Regular" w:hAnsi="Lato Regular"/>
                <w:sz w:val="20"/>
                <w:szCs w:val="20"/>
              </w:rPr>
              <w:t xml:space="preserve">linked to regional and global gender instruments. </w:t>
            </w:r>
          </w:p>
        </w:tc>
        <w:tc>
          <w:tcPr>
            <w:tcW w:w="2552" w:type="dxa"/>
          </w:tcPr>
          <w:p w14:paraId="65FA2371"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482E9206" w14:textId="6D18F473" w:rsidR="00F03A2A" w:rsidRPr="007020CF" w:rsidRDefault="00F03A2A" w:rsidP="00BE6BE0">
            <w:pPr>
              <w:rPr>
                <w:rFonts w:ascii="Lato Regular" w:hAnsi="Lato Regular"/>
                <w:sz w:val="20"/>
                <w:szCs w:val="20"/>
              </w:rPr>
            </w:pPr>
            <w:r w:rsidRPr="007020CF">
              <w:rPr>
                <w:rFonts w:ascii="Lato Regular" w:hAnsi="Lato Regular"/>
                <w:sz w:val="20"/>
                <w:szCs w:val="20"/>
              </w:rPr>
              <w:t xml:space="preserve">Political buy-in for the SRHR </w:t>
            </w:r>
            <w:r w:rsidR="00CA51FF">
              <w:rPr>
                <w:rFonts w:ascii="Lato Regular" w:hAnsi="Lato Regular"/>
                <w:sz w:val="20"/>
                <w:szCs w:val="20"/>
              </w:rPr>
              <w:t xml:space="preserve">Guidelines </w:t>
            </w:r>
            <w:r w:rsidRPr="007020CF">
              <w:rPr>
                <w:rFonts w:ascii="Lato Regular" w:hAnsi="Lato Regular"/>
                <w:sz w:val="20"/>
                <w:szCs w:val="20"/>
              </w:rPr>
              <w:t xml:space="preserve">through popularisation and lobbying.  </w:t>
            </w:r>
          </w:p>
          <w:p w14:paraId="3DA4C034" w14:textId="77777777" w:rsidR="00F03A2A" w:rsidRPr="007020CF" w:rsidRDefault="00F03A2A" w:rsidP="00BE6BE0">
            <w:pPr>
              <w:rPr>
                <w:rFonts w:ascii="Lato Regular" w:hAnsi="Lato Regular"/>
                <w:sz w:val="20"/>
                <w:szCs w:val="20"/>
              </w:rPr>
            </w:pPr>
          </w:p>
          <w:p w14:paraId="7166DBA2" w14:textId="77777777" w:rsidR="00CA51FF" w:rsidRDefault="00CA51FF" w:rsidP="00BE6BE0">
            <w:pPr>
              <w:rPr>
                <w:rFonts w:ascii="Lato Regular" w:hAnsi="Lato Regular"/>
                <w:sz w:val="20"/>
                <w:szCs w:val="20"/>
              </w:rPr>
            </w:pPr>
          </w:p>
          <w:p w14:paraId="1204B96F" w14:textId="77777777" w:rsidR="00CA51FF" w:rsidRDefault="00CA51FF" w:rsidP="00BE6BE0">
            <w:pPr>
              <w:rPr>
                <w:rFonts w:ascii="Lato Regular" w:hAnsi="Lato Regular"/>
                <w:sz w:val="20"/>
                <w:szCs w:val="20"/>
              </w:rPr>
            </w:pPr>
          </w:p>
          <w:p w14:paraId="746E646D"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4A0FAC1F" w14:textId="32AF22C3" w:rsidR="00F03A2A" w:rsidRPr="007020CF" w:rsidRDefault="00F03A2A" w:rsidP="00CA51FF">
            <w:pPr>
              <w:rPr>
                <w:rFonts w:ascii="Lato Regular" w:hAnsi="Lato Regular"/>
                <w:sz w:val="20"/>
                <w:szCs w:val="20"/>
              </w:rPr>
            </w:pPr>
            <w:r w:rsidRPr="007020CF">
              <w:rPr>
                <w:rFonts w:ascii="Lato Regular" w:hAnsi="Lato Regular"/>
                <w:sz w:val="20"/>
                <w:szCs w:val="20"/>
              </w:rPr>
              <w:t xml:space="preserve">Number of countries that embrace the SRHR policy </w:t>
            </w:r>
            <w:r w:rsidR="00CA51FF">
              <w:rPr>
                <w:rFonts w:ascii="Lato Regular" w:hAnsi="Lato Regular"/>
                <w:sz w:val="20"/>
                <w:szCs w:val="20"/>
              </w:rPr>
              <w:t>guidelines.</w:t>
            </w:r>
          </w:p>
        </w:tc>
        <w:tc>
          <w:tcPr>
            <w:tcW w:w="2693" w:type="dxa"/>
          </w:tcPr>
          <w:p w14:paraId="564B0B22"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17F70A72"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Implementation of SRHR policy checklist </w:t>
            </w:r>
          </w:p>
          <w:p w14:paraId="7B586AE3" w14:textId="77777777" w:rsidR="00F03A2A" w:rsidRPr="007020CF" w:rsidRDefault="00F03A2A" w:rsidP="00BE6BE0">
            <w:pPr>
              <w:rPr>
                <w:rFonts w:ascii="Lato Regular" w:hAnsi="Lato Regular"/>
                <w:sz w:val="20"/>
                <w:szCs w:val="20"/>
              </w:rPr>
            </w:pPr>
          </w:p>
          <w:p w14:paraId="0A097E81" w14:textId="77777777" w:rsidR="00F03A2A" w:rsidRPr="007020CF" w:rsidRDefault="00F03A2A" w:rsidP="00BE6BE0">
            <w:pPr>
              <w:rPr>
                <w:rFonts w:ascii="Lato Regular" w:hAnsi="Lato Regular"/>
                <w:sz w:val="20"/>
                <w:szCs w:val="20"/>
              </w:rPr>
            </w:pPr>
          </w:p>
          <w:p w14:paraId="7B0BD180" w14:textId="77777777" w:rsidR="00CA51FF" w:rsidRDefault="00CA51FF" w:rsidP="00BE6BE0">
            <w:pPr>
              <w:rPr>
                <w:rFonts w:ascii="Lato Regular" w:hAnsi="Lato Regular"/>
                <w:sz w:val="20"/>
                <w:szCs w:val="20"/>
              </w:rPr>
            </w:pPr>
          </w:p>
          <w:p w14:paraId="0F711650" w14:textId="77777777" w:rsidR="00CA51FF" w:rsidRDefault="00CA51FF" w:rsidP="00BE6BE0">
            <w:pPr>
              <w:rPr>
                <w:rFonts w:ascii="Lato Regular" w:hAnsi="Lato Regular"/>
                <w:sz w:val="20"/>
                <w:szCs w:val="20"/>
              </w:rPr>
            </w:pPr>
          </w:p>
          <w:p w14:paraId="2946CDE4"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1C55720E" w14:textId="03D568F0" w:rsidR="00F03A2A" w:rsidRPr="007020CF" w:rsidRDefault="00F03A2A" w:rsidP="00CA51FF">
            <w:pPr>
              <w:rPr>
                <w:rFonts w:ascii="Lato Regular" w:hAnsi="Lato Regular"/>
                <w:sz w:val="20"/>
                <w:szCs w:val="20"/>
              </w:rPr>
            </w:pPr>
            <w:r w:rsidRPr="007020CF">
              <w:rPr>
                <w:rFonts w:ascii="Lato Regular" w:hAnsi="Lato Regular"/>
                <w:sz w:val="20"/>
                <w:szCs w:val="20"/>
              </w:rPr>
              <w:t xml:space="preserve">Number of countries that have developed/reviewed SRHR policies aligned to the </w:t>
            </w:r>
            <w:r w:rsidR="00CA51FF">
              <w:rPr>
                <w:rFonts w:ascii="Lato Regular" w:hAnsi="Lato Regular"/>
                <w:sz w:val="20"/>
                <w:szCs w:val="20"/>
              </w:rPr>
              <w:lastRenderedPageBreak/>
              <w:t>guidelines.</w:t>
            </w:r>
          </w:p>
        </w:tc>
      </w:tr>
      <w:tr w:rsidR="00F03A2A" w:rsidRPr="007020CF" w14:paraId="029E270A" w14:textId="77777777" w:rsidTr="00BE6BE0">
        <w:trPr>
          <w:trHeight w:val="105"/>
        </w:trPr>
        <w:tc>
          <w:tcPr>
            <w:tcW w:w="2255" w:type="dxa"/>
          </w:tcPr>
          <w:p w14:paraId="07AE5A16" w14:textId="77777777" w:rsidR="00F03A2A" w:rsidRPr="007020CF" w:rsidRDefault="00F03A2A" w:rsidP="00BE6BE0">
            <w:pPr>
              <w:rPr>
                <w:rFonts w:ascii="Lato Regular" w:eastAsia="Times New Roman" w:hAnsi="Lato Regular" w:cs="Times New Roman"/>
                <w:sz w:val="20"/>
                <w:szCs w:val="20"/>
              </w:rPr>
            </w:pPr>
            <w:proofErr w:type="spellStart"/>
            <w:r w:rsidRPr="007020CF">
              <w:rPr>
                <w:rFonts w:ascii="Lato Regular" w:hAnsi="Lato Regular"/>
                <w:sz w:val="20"/>
                <w:szCs w:val="20"/>
              </w:rPr>
              <w:lastRenderedPageBreak/>
              <w:t>SN2.1</w:t>
            </w:r>
            <w:proofErr w:type="spellEnd"/>
          </w:p>
        </w:tc>
        <w:tc>
          <w:tcPr>
            <w:tcW w:w="2551" w:type="dxa"/>
          </w:tcPr>
          <w:p w14:paraId="46C2B883" w14:textId="77777777" w:rsidR="00F03A2A" w:rsidRPr="007020CF" w:rsidRDefault="00F03A2A" w:rsidP="00BE6BE0">
            <w:pPr>
              <w:rPr>
                <w:rFonts w:ascii="Lato Regular" w:eastAsia="Times New Roman" w:hAnsi="Lato Regular"/>
                <w:sz w:val="20"/>
                <w:szCs w:val="20"/>
                <w:highlight w:val="yellow"/>
              </w:rPr>
            </w:pPr>
            <w:r w:rsidRPr="007020CF">
              <w:rPr>
                <w:rFonts w:ascii="Lato Regular" w:eastAsia="Times New Roman" w:hAnsi="Lato Regular"/>
                <w:sz w:val="20"/>
                <w:szCs w:val="20"/>
                <w:highlight w:val="yellow"/>
              </w:rPr>
              <w:t>Increased and more public support for SRHR, and less negative statements, from key influencers</w:t>
            </w:r>
          </w:p>
          <w:p w14:paraId="372D4E1C" w14:textId="77777777" w:rsidR="00F03A2A" w:rsidRPr="007020CF" w:rsidRDefault="00F03A2A" w:rsidP="00BE6BE0">
            <w:pPr>
              <w:rPr>
                <w:rFonts w:ascii="Lato Regular" w:eastAsia="Times New Roman" w:hAnsi="Lato Regular" w:cs="Times New Roman"/>
                <w:sz w:val="20"/>
                <w:szCs w:val="20"/>
              </w:rPr>
            </w:pPr>
          </w:p>
          <w:p w14:paraId="601A5DD0" w14:textId="77777777" w:rsidR="00F03A2A" w:rsidRPr="007020CF" w:rsidRDefault="00F03A2A" w:rsidP="00BE6BE0">
            <w:pPr>
              <w:rPr>
                <w:rFonts w:ascii="Lato Regular" w:eastAsia="Times New Roman" w:hAnsi="Lato Regular"/>
                <w:sz w:val="20"/>
                <w:szCs w:val="20"/>
                <w:highlight w:val="yellow"/>
              </w:rPr>
            </w:pPr>
          </w:p>
        </w:tc>
        <w:tc>
          <w:tcPr>
            <w:tcW w:w="2268" w:type="dxa"/>
          </w:tcPr>
          <w:p w14:paraId="6E8DE600"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54BD8E5A"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SRHR indicators in the Gender attitude survey agreed; baseline political discourse analysis conducted </w:t>
            </w:r>
          </w:p>
          <w:p w14:paraId="070AF262" w14:textId="77777777" w:rsidR="00F03A2A" w:rsidRPr="007020CF" w:rsidRDefault="00F03A2A" w:rsidP="00BE6BE0">
            <w:pPr>
              <w:rPr>
                <w:rFonts w:ascii="Lato Regular" w:hAnsi="Lato Regular"/>
                <w:sz w:val="20"/>
                <w:szCs w:val="20"/>
              </w:rPr>
            </w:pPr>
          </w:p>
          <w:p w14:paraId="4A014B5B"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2EB4ACEA"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2018 Barometer </w:t>
            </w:r>
          </w:p>
        </w:tc>
        <w:tc>
          <w:tcPr>
            <w:tcW w:w="2410" w:type="dxa"/>
          </w:tcPr>
          <w:p w14:paraId="645A5217"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780C2853"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Social media campaigns on SRHR expanded</w:t>
            </w:r>
          </w:p>
          <w:p w14:paraId="0573EE8B" w14:textId="77777777" w:rsidR="00F03A2A" w:rsidRPr="007020CF" w:rsidRDefault="00F03A2A" w:rsidP="00BE6BE0">
            <w:pPr>
              <w:rPr>
                <w:rFonts w:ascii="Lato Regular" w:hAnsi="Lato Regular"/>
                <w:sz w:val="20"/>
                <w:szCs w:val="20"/>
              </w:rPr>
            </w:pPr>
          </w:p>
          <w:p w14:paraId="4B92FDAC"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611A8BA5"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Number of social media follower and comments on SRHR </w:t>
            </w:r>
          </w:p>
        </w:tc>
        <w:tc>
          <w:tcPr>
            <w:tcW w:w="2552" w:type="dxa"/>
          </w:tcPr>
          <w:p w14:paraId="526C22D0"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198078A8"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Media monitoring and Political Discourse analysis of SRHR topics. </w:t>
            </w:r>
          </w:p>
          <w:p w14:paraId="70A17881" w14:textId="77777777" w:rsidR="00F03A2A" w:rsidRPr="007020CF" w:rsidRDefault="00F03A2A" w:rsidP="00BE6BE0">
            <w:pPr>
              <w:rPr>
                <w:rFonts w:ascii="Lato Regular" w:hAnsi="Lato Regular"/>
                <w:sz w:val="20"/>
                <w:szCs w:val="20"/>
              </w:rPr>
            </w:pPr>
          </w:p>
          <w:p w14:paraId="7D98E4E5"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Means of Verification: Online media monitoring results in Survey Gizmo and media monitoring reports  </w:t>
            </w:r>
          </w:p>
          <w:p w14:paraId="6D9224F1" w14:textId="77777777" w:rsidR="00F03A2A" w:rsidRPr="007020CF" w:rsidRDefault="00F03A2A" w:rsidP="00BE6BE0">
            <w:pPr>
              <w:rPr>
                <w:rFonts w:ascii="Lato Regular" w:hAnsi="Lato Regular"/>
                <w:sz w:val="20"/>
                <w:szCs w:val="20"/>
              </w:rPr>
            </w:pPr>
          </w:p>
        </w:tc>
        <w:tc>
          <w:tcPr>
            <w:tcW w:w="2693" w:type="dxa"/>
          </w:tcPr>
          <w:p w14:paraId="1AA02637"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Gender attitudes on SRHR improve by at least five percentage points. More high profile figures speak out on SRHR. </w:t>
            </w:r>
          </w:p>
          <w:p w14:paraId="0CE6DEC8" w14:textId="77777777" w:rsidR="00F03A2A" w:rsidRPr="007020CF" w:rsidRDefault="00F03A2A" w:rsidP="00BE6BE0">
            <w:pPr>
              <w:rPr>
                <w:rFonts w:ascii="Lato Regular" w:hAnsi="Lato Regular"/>
                <w:sz w:val="20"/>
                <w:szCs w:val="20"/>
              </w:rPr>
            </w:pPr>
          </w:p>
          <w:p w14:paraId="0FFD471F"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Means of verification: Gender Attitude Survey and Political Discourse Analysis </w:t>
            </w:r>
          </w:p>
        </w:tc>
      </w:tr>
      <w:tr w:rsidR="00F03A2A" w:rsidRPr="007020CF" w14:paraId="4CA34969" w14:textId="77777777" w:rsidTr="00BE6BE0">
        <w:tc>
          <w:tcPr>
            <w:tcW w:w="2255" w:type="dxa"/>
          </w:tcPr>
          <w:p w14:paraId="084C55A5" w14:textId="77777777" w:rsidR="00F03A2A" w:rsidRPr="007020CF" w:rsidRDefault="00F03A2A" w:rsidP="00BE6BE0">
            <w:pPr>
              <w:rPr>
                <w:rFonts w:ascii="Lato Regular" w:eastAsia="Times New Roman" w:hAnsi="Lato Regular" w:cs="Times New Roman"/>
                <w:sz w:val="20"/>
                <w:szCs w:val="20"/>
              </w:rPr>
            </w:pPr>
            <w:proofErr w:type="spellStart"/>
            <w:r w:rsidRPr="007020CF">
              <w:rPr>
                <w:rFonts w:ascii="Lato Regular" w:eastAsia="Times New Roman" w:hAnsi="Lato Regular" w:cs="Times New Roman"/>
                <w:sz w:val="20"/>
                <w:szCs w:val="20"/>
              </w:rPr>
              <w:t>AR0.1</w:t>
            </w:r>
            <w:proofErr w:type="spellEnd"/>
            <w:r w:rsidRPr="007020CF">
              <w:rPr>
                <w:rFonts w:ascii="Lato Regular" w:eastAsia="Times New Roman" w:hAnsi="Lato Regular" w:cs="Times New Roman"/>
                <w:sz w:val="20"/>
                <w:szCs w:val="20"/>
              </w:rPr>
              <w:t xml:space="preserve"> </w:t>
            </w:r>
          </w:p>
          <w:p w14:paraId="737E5875" w14:textId="5CE1D02A" w:rsidR="00F03A2A" w:rsidRPr="00F03A2A" w:rsidRDefault="00F03A2A" w:rsidP="00BE6BE0">
            <w:pPr>
              <w:rPr>
                <w:rFonts w:ascii="Lato Regular" w:hAnsi="Lato Regular"/>
                <w:i/>
                <w:sz w:val="20"/>
                <w:szCs w:val="20"/>
              </w:rPr>
            </w:pPr>
            <w:r w:rsidRPr="007020CF">
              <w:rPr>
                <w:rFonts w:ascii="Lato Regular" w:hAnsi="Lato Regular"/>
                <w:sz w:val="20"/>
                <w:szCs w:val="20"/>
              </w:rPr>
              <w:t xml:space="preserve">(3. </w:t>
            </w:r>
            <w:r w:rsidRPr="00F03A2A">
              <w:rPr>
                <w:rFonts w:ascii="Lato Regular" w:hAnsi="Lato Regular"/>
                <w:i/>
                <w:sz w:val="20"/>
                <w:szCs w:val="20"/>
              </w:rPr>
              <w:t xml:space="preserve">To enhance SRHR at community level through developing youth and gender aware policies, services, and service directories in 425 COEs for gender in local </w:t>
            </w:r>
            <w:r w:rsidRPr="00F03A2A">
              <w:rPr>
                <w:rFonts w:ascii="Lato Regular" w:hAnsi="Lato Regular"/>
                <w:i/>
                <w:sz w:val="20"/>
                <w:szCs w:val="20"/>
              </w:rPr>
              <w:lastRenderedPageBreak/>
              <w:t>government as part of Post 2015 gender action plans</w:t>
            </w:r>
          </w:p>
          <w:p w14:paraId="51147635" w14:textId="77777777" w:rsidR="00F03A2A" w:rsidRPr="007020CF" w:rsidRDefault="00F03A2A" w:rsidP="00BE6BE0">
            <w:pPr>
              <w:rPr>
                <w:rFonts w:ascii="Lato Regular" w:hAnsi="Lato Regular"/>
                <w:sz w:val="20"/>
                <w:szCs w:val="20"/>
              </w:rPr>
            </w:pPr>
          </w:p>
        </w:tc>
        <w:tc>
          <w:tcPr>
            <w:tcW w:w="2551" w:type="dxa"/>
          </w:tcPr>
          <w:p w14:paraId="1907A799" w14:textId="77777777" w:rsidR="00F03A2A" w:rsidRPr="007020CF" w:rsidRDefault="00F03A2A" w:rsidP="00BE6BE0">
            <w:pPr>
              <w:rPr>
                <w:rFonts w:ascii="Lato Regular" w:hAnsi="Lato Regular"/>
                <w:i/>
                <w:sz w:val="20"/>
                <w:szCs w:val="20"/>
                <w:highlight w:val="yellow"/>
              </w:rPr>
            </w:pPr>
            <w:r w:rsidRPr="007020CF">
              <w:rPr>
                <w:rFonts w:ascii="Lato Regular" w:eastAsia="Times New Roman" w:hAnsi="Lato Regular"/>
                <w:sz w:val="20"/>
                <w:szCs w:val="20"/>
                <w:highlight w:val="yellow"/>
              </w:rPr>
              <w:lastRenderedPageBreak/>
              <w:t>Greater access to SRHR services/ information/ products for marginalised groups</w:t>
            </w:r>
          </w:p>
        </w:tc>
        <w:tc>
          <w:tcPr>
            <w:tcW w:w="2268" w:type="dxa"/>
          </w:tcPr>
          <w:p w14:paraId="55B551FA"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2816C2E8"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Mapping of SRHR policies</w:t>
            </w:r>
            <w:r>
              <w:rPr>
                <w:rFonts w:ascii="Lato Regular" w:hAnsi="Lato Regular"/>
                <w:sz w:val="20"/>
                <w:szCs w:val="20"/>
              </w:rPr>
              <w:t xml:space="preserve"> and </w:t>
            </w:r>
            <w:proofErr w:type="gramStart"/>
            <w:r>
              <w:rPr>
                <w:rFonts w:ascii="Lato Regular" w:hAnsi="Lato Regular"/>
                <w:sz w:val="20"/>
                <w:szCs w:val="20"/>
              </w:rPr>
              <w:t xml:space="preserve">services </w:t>
            </w:r>
            <w:r w:rsidRPr="007020CF">
              <w:rPr>
                <w:rFonts w:ascii="Lato Regular" w:hAnsi="Lato Regular"/>
                <w:sz w:val="20"/>
                <w:szCs w:val="20"/>
              </w:rPr>
              <w:t xml:space="preserve"> at</w:t>
            </w:r>
            <w:proofErr w:type="gramEnd"/>
            <w:r w:rsidRPr="007020CF">
              <w:rPr>
                <w:rFonts w:ascii="Lato Regular" w:hAnsi="Lato Regular"/>
                <w:sz w:val="20"/>
                <w:szCs w:val="20"/>
              </w:rPr>
              <w:t xml:space="preserve"> local government level and development of service directories. </w:t>
            </w:r>
          </w:p>
          <w:p w14:paraId="07F3E619" w14:textId="77777777" w:rsidR="00F03A2A" w:rsidRDefault="00F03A2A" w:rsidP="00BE6BE0">
            <w:pPr>
              <w:rPr>
                <w:rFonts w:ascii="Lato Regular" w:hAnsi="Lato Regular"/>
                <w:sz w:val="20"/>
                <w:szCs w:val="20"/>
              </w:rPr>
            </w:pPr>
          </w:p>
          <w:p w14:paraId="32CF0880"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4B85F1EA" w14:textId="77777777" w:rsidR="00F03A2A" w:rsidRPr="007020CF" w:rsidRDefault="00F03A2A" w:rsidP="00BE6BE0">
            <w:pPr>
              <w:rPr>
                <w:rFonts w:ascii="Lato Regular" w:hAnsi="Lato Regular"/>
                <w:sz w:val="20"/>
                <w:szCs w:val="20"/>
              </w:rPr>
            </w:pPr>
            <w:r w:rsidRPr="007020CF">
              <w:rPr>
                <w:rFonts w:ascii="Lato Regular" w:hAnsi="Lato Regular"/>
                <w:sz w:val="20"/>
                <w:szCs w:val="20"/>
              </w:rPr>
              <w:lastRenderedPageBreak/>
              <w:t xml:space="preserve">Report reflecting which councils have SRHR policies and their contents </w:t>
            </w:r>
          </w:p>
        </w:tc>
        <w:tc>
          <w:tcPr>
            <w:tcW w:w="2410" w:type="dxa"/>
          </w:tcPr>
          <w:p w14:paraId="6C9E688F" w14:textId="6F008670" w:rsidR="00F03A2A" w:rsidRDefault="00F03A2A" w:rsidP="00BE6BE0">
            <w:pPr>
              <w:rPr>
                <w:rFonts w:ascii="Lato Regular" w:hAnsi="Lato Regular"/>
                <w:sz w:val="20"/>
                <w:szCs w:val="20"/>
              </w:rPr>
            </w:pPr>
            <w:r w:rsidRPr="007020CF">
              <w:rPr>
                <w:rFonts w:ascii="Lato Regular" w:hAnsi="Lato Regular"/>
                <w:sz w:val="20"/>
                <w:szCs w:val="20"/>
              </w:rPr>
              <w:lastRenderedPageBreak/>
              <w:t>Milestone</w:t>
            </w:r>
            <w:r>
              <w:rPr>
                <w:rFonts w:ascii="Lato Regular" w:hAnsi="Lato Regular"/>
                <w:sz w:val="20"/>
                <w:szCs w:val="20"/>
              </w:rPr>
              <w:t xml:space="preserve">: </w:t>
            </w:r>
          </w:p>
          <w:p w14:paraId="141E2BE4"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286C93CB" w14:textId="77777777" w:rsidR="00A736B6" w:rsidRDefault="00F03A2A" w:rsidP="00BE6BE0">
            <w:pPr>
              <w:rPr>
                <w:rFonts w:ascii="Lato Regular" w:hAnsi="Lato Regular"/>
                <w:sz w:val="20"/>
                <w:szCs w:val="20"/>
              </w:rPr>
            </w:pPr>
            <w:r w:rsidRPr="007020CF">
              <w:rPr>
                <w:rFonts w:ascii="Lato Regular" w:hAnsi="Lato Regular"/>
                <w:sz w:val="20"/>
                <w:szCs w:val="20"/>
              </w:rPr>
              <w:t>Develop a SRHR module for local government</w:t>
            </w:r>
            <w:r w:rsidR="00A736B6">
              <w:rPr>
                <w:rFonts w:ascii="Lato Regular" w:hAnsi="Lato Regular"/>
                <w:sz w:val="20"/>
                <w:szCs w:val="20"/>
              </w:rPr>
              <w:t>.</w:t>
            </w:r>
          </w:p>
          <w:p w14:paraId="772DBBB0" w14:textId="77777777" w:rsidR="00A736B6" w:rsidRDefault="00A736B6" w:rsidP="00BE6BE0">
            <w:pPr>
              <w:rPr>
                <w:rFonts w:ascii="Lato Regular" w:hAnsi="Lato Regular"/>
                <w:sz w:val="20"/>
                <w:szCs w:val="20"/>
              </w:rPr>
            </w:pPr>
          </w:p>
          <w:p w14:paraId="30865729" w14:textId="77777777" w:rsidR="00A736B6" w:rsidRDefault="00A736B6" w:rsidP="00BE6BE0">
            <w:pPr>
              <w:rPr>
                <w:rFonts w:ascii="Lato Regular" w:hAnsi="Lato Regular"/>
                <w:sz w:val="20"/>
                <w:szCs w:val="20"/>
              </w:rPr>
            </w:pPr>
          </w:p>
          <w:p w14:paraId="2CCA7BEA" w14:textId="77777777" w:rsidR="00A736B6" w:rsidRDefault="00A736B6" w:rsidP="00BE6BE0">
            <w:pPr>
              <w:rPr>
                <w:rFonts w:ascii="Lato Regular" w:hAnsi="Lato Regular"/>
                <w:sz w:val="20"/>
                <w:szCs w:val="20"/>
              </w:rPr>
            </w:pPr>
          </w:p>
          <w:p w14:paraId="7A3D1D23"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1593C0A7" w14:textId="77777777" w:rsidR="00F03A2A" w:rsidRDefault="00F03A2A" w:rsidP="00BE6BE0">
            <w:pPr>
              <w:rPr>
                <w:rFonts w:ascii="Lato Regular" w:hAnsi="Lato Regular"/>
                <w:sz w:val="20"/>
                <w:szCs w:val="20"/>
              </w:rPr>
            </w:pPr>
            <w:r w:rsidRPr="007020CF">
              <w:rPr>
                <w:rFonts w:ascii="Lato Regular" w:hAnsi="Lato Regular"/>
                <w:sz w:val="20"/>
                <w:szCs w:val="20"/>
              </w:rPr>
              <w:lastRenderedPageBreak/>
              <w:t>Training materials customised for local government</w:t>
            </w:r>
          </w:p>
          <w:p w14:paraId="581BE3FD" w14:textId="02260E31" w:rsidR="00F03A2A" w:rsidRPr="007020CF" w:rsidRDefault="00F03A2A" w:rsidP="00BE6BE0">
            <w:pPr>
              <w:rPr>
                <w:rFonts w:ascii="Lato Regular" w:hAnsi="Lato Regular"/>
                <w:sz w:val="20"/>
                <w:szCs w:val="20"/>
              </w:rPr>
            </w:pPr>
          </w:p>
        </w:tc>
        <w:tc>
          <w:tcPr>
            <w:tcW w:w="2552" w:type="dxa"/>
          </w:tcPr>
          <w:p w14:paraId="41065786" w14:textId="77777777" w:rsidR="00F03A2A" w:rsidRPr="007020CF" w:rsidRDefault="00F03A2A" w:rsidP="00BE6BE0">
            <w:pPr>
              <w:rPr>
                <w:rFonts w:ascii="Lato Regular" w:hAnsi="Lato Regular"/>
                <w:sz w:val="20"/>
                <w:szCs w:val="20"/>
              </w:rPr>
            </w:pPr>
            <w:r w:rsidRPr="007020CF">
              <w:rPr>
                <w:rFonts w:ascii="Lato Regular" w:hAnsi="Lato Regular"/>
                <w:sz w:val="20"/>
                <w:szCs w:val="20"/>
              </w:rPr>
              <w:lastRenderedPageBreak/>
              <w:t>Milestone</w:t>
            </w:r>
          </w:p>
          <w:p w14:paraId="2B5877C3" w14:textId="36F06B85" w:rsidR="00F03A2A" w:rsidRDefault="00A736B6" w:rsidP="00BE6BE0">
            <w:pPr>
              <w:rPr>
                <w:rFonts w:ascii="Lato Regular" w:hAnsi="Lato Regular"/>
                <w:sz w:val="20"/>
                <w:szCs w:val="20"/>
              </w:rPr>
            </w:pPr>
            <w:r>
              <w:rPr>
                <w:rFonts w:ascii="Lato Regular" w:hAnsi="Lato Regular"/>
                <w:sz w:val="20"/>
                <w:szCs w:val="20"/>
              </w:rPr>
              <w:t>Train</w:t>
            </w:r>
            <w:r w:rsidR="00F03A2A">
              <w:rPr>
                <w:rFonts w:ascii="Lato Regular" w:hAnsi="Lato Regular"/>
                <w:sz w:val="20"/>
                <w:szCs w:val="20"/>
              </w:rPr>
              <w:t xml:space="preserve"> Gender Focal Persons and junior councillors linked to strengthening of SRHR in gender action plans, and developing of service directories. </w:t>
            </w:r>
          </w:p>
          <w:p w14:paraId="7BF743A3"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r>
              <w:rPr>
                <w:rFonts w:ascii="Lato Regular" w:hAnsi="Lato Regular"/>
                <w:sz w:val="20"/>
                <w:szCs w:val="20"/>
              </w:rPr>
              <w:t xml:space="preserve"> </w:t>
            </w:r>
            <w:r>
              <w:rPr>
                <w:rFonts w:ascii="Lato Regular" w:hAnsi="Lato Regular"/>
                <w:sz w:val="20"/>
                <w:szCs w:val="20"/>
              </w:rPr>
              <w:lastRenderedPageBreak/>
              <w:t>Training reports</w:t>
            </w:r>
            <w:proofErr w:type="gramStart"/>
            <w:r>
              <w:rPr>
                <w:rFonts w:ascii="Lato Regular" w:hAnsi="Lato Regular"/>
                <w:sz w:val="20"/>
                <w:szCs w:val="20"/>
              </w:rPr>
              <w:t>;  updated</w:t>
            </w:r>
            <w:proofErr w:type="gramEnd"/>
            <w:r>
              <w:rPr>
                <w:rFonts w:ascii="Lato Regular" w:hAnsi="Lato Regular"/>
                <w:sz w:val="20"/>
                <w:szCs w:val="20"/>
              </w:rPr>
              <w:t xml:space="preserve"> gender action plans; service directories. </w:t>
            </w:r>
          </w:p>
        </w:tc>
        <w:tc>
          <w:tcPr>
            <w:tcW w:w="2693" w:type="dxa"/>
          </w:tcPr>
          <w:p w14:paraId="57EAAF36" w14:textId="77777777" w:rsidR="00F03A2A" w:rsidRPr="007020CF" w:rsidRDefault="00F03A2A" w:rsidP="00BE6BE0">
            <w:pPr>
              <w:rPr>
                <w:rFonts w:ascii="Lato Regular" w:hAnsi="Lato Regular"/>
                <w:sz w:val="20"/>
                <w:szCs w:val="20"/>
              </w:rPr>
            </w:pPr>
            <w:r w:rsidRPr="007020CF">
              <w:rPr>
                <w:rFonts w:ascii="Lato Regular" w:hAnsi="Lato Regular"/>
                <w:sz w:val="20"/>
                <w:szCs w:val="20"/>
              </w:rPr>
              <w:lastRenderedPageBreak/>
              <w:t>Milestone</w:t>
            </w:r>
          </w:p>
          <w:p w14:paraId="61509324"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A five percentage point improvement in access to SRHR services at the local level </w:t>
            </w:r>
          </w:p>
          <w:p w14:paraId="6B29B4D3" w14:textId="77777777" w:rsidR="00F03A2A" w:rsidRPr="007020CF" w:rsidRDefault="00F03A2A" w:rsidP="00BE6BE0">
            <w:pPr>
              <w:rPr>
                <w:rFonts w:ascii="Lato Regular" w:hAnsi="Lato Regular"/>
                <w:sz w:val="20"/>
                <w:szCs w:val="20"/>
              </w:rPr>
            </w:pPr>
          </w:p>
          <w:p w14:paraId="40599120" w14:textId="77777777" w:rsidR="00A736B6" w:rsidRDefault="00A736B6" w:rsidP="00BE6BE0">
            <w:pPr>
              <w:rPr>
                <w:rFonts w:ascii="Lato Regular" w:hAnsi="Lato Regular"/>
                <w:sz w:val="20"/>
                <w:szCs w:val="20"/>
              </w:rPr>
            </w:pPr>
          </w:p>
          <w:p w14:paraId="3A0B004F"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5317A1B4" w14:textId="2A5B0D9D" w:rsidR="00F03A2A" w:rsidRPr="007020CF" w:rsidRDefault="00A736B6" w:rsidP="00BE6BE0">
            <w:pPr>
              <w:rPr>
                <w:rFonts w:ascii="Lato Regular" w:hAnsi="Lato Regular"/>
                <w:sz w:val="20"/>
                <w:szCs w:val="20"/>
              </w:rPr>
            </w:pPr>
            <w:r>
              <w:rPr>
                <w:rFonts w:ascii="Lato Regular" w:hAnsi="Lato Regular"/>
                <w:sz w:val="20"/>
                <w:szCs w:val="20"/>
              </w:rPr>
              <w:lastRenderedPageBreak/>
              <w:t>Gender and Local G</w:t>
            </w:r>
            <w:r w:rsidR="00F03A2A" w:rsidRPr="007020CF">
              <w:rPr>
                <w:rFonts w:ascii="Lato Regular" w:hAnsi="Lato Regular"/>
                <w:sz w:val="20"/>
                <w:szCs w:val="20"/>
              </w:rPr>
              <w:t xml:space="preserve">overnment score on SRHR. </w:t>
            </w:r>
          </w:p>
        </w:tc>
      </w:tr>
      <w:tr w:rsidR="00F03A2A" w:rsidRPr="007020CF" w14:paraId="12EB661C" w14:textId="77777777" w:rsidTr="00BE6BE0">
        <w:tc>
          <w:tcPr>
            <w:tcW w:w="2255" w:type="dxa"/>
          </w:tcPr>
          <w:p w14:paraId="2F4424E0" w14:textId="686EA145" w:rsidR="00F03A2A" w:rsidRDefault="00F03A2A" w:rsidP="00BE6BE0">
            <w:pPr>
              <w:rPr>
                <w:rFonts w:ascii="Lato Regular" w:hAnsi="Lato Regular"/>
                <w:sz w:val="20"/>
                <w:szCs w:val="20"/>
              </w:rPr>
            </w:pPr>
            <w:r>
              <w:rPr>
                <w:rFonts w:ascii="Lato Regular" w:hAnsi="Lato Regular"/>
                <w:sz w:val="20"/>
                <w:szCs w:val="20"/>
              </w:rPr>
              <w:lastRenderedPageBreak/>
              <w:t xml:space="preserve">AR 2.3 </w:t>
            </w:r>
          </w:p>
          <w:p w14:paraId="64477625" w14:textId="0554D555" w:rsidR="00F03A2A" w:rsidRPr="00F03A2A" w:rsidRDefault="00F03A2A" w:rsidP="00BE6BE0">
            <w:pPr>
              <w:rPr>
                <w:rFonts w:ascii="Lato Regular" w:hAnsi="Lato Regular"/>
                <w:i/>
                <w:sz w:val="20"/>
                <w:szCs w:val="20"/>
              </w:rPr>
            </w:pPr>
            <w:r>
              <w:rPr>
                <w:rFonts w:ascii="Lato Regular" w:hAnsi="Lato Regular"/>
                <w:sz w:val="20"/>
                <w:szCs w:val="20"/>
              </w:rPr>
              <w:t>(</w:t>
            </w:r>
            <w:r w:rsidRPr="007020CF">
              <w:rPr>
                <w:rFonts w:ascii="Lato Regular" w:hAnsi="Lato Regular"/>
                <w:sz w:val="20"/>
                <w:szCs w:val="20"/>
              </w:rPr>
              <w:t xml:space="preserve">4. </w:t>
            </w:r>
            <w:r w:rsidRPr="00F03A2A">
              <w:rPr>
                <w:rFonts w:ascii="Lato Regular" w:hAnsi="Lato Regular"/>
                <w:i/>
                <w:sz w:val="20"/>
                <w:szCs w:val="20"/>
              </w:rPr>
              <w:t>To promote better information and greater freedom of choice for adolescents and young people about their sexuality through schools, community media, and innovative mobile technology</w:t>
            </w:r>
          </w:p>
          <w:p w14:paraId="248C624E" w14:textId="77777777" w:rsidR="00F03A2A" w:rsidRDefault="00F03A2A" w:rsidP="00BE6BE0">
            <w:pPr>
              <w:rPr>
                <w:rFonts w:ascii="Lato Regular" w:eastAsia="Times New Roman" w:hAnsi="Lato Regular" w:cs="Times New Roman"/>
                <w:sz w:val="20"/>
                <w:szCs w:val="20"/>
              </w:rPr>
            </w:pPr>
          </w:p>
          <w:p w14:paraId="38A3FD4A" w14:textId="77777777" w:rsidR="00F03A2A" w:rsidRPr="007020CF" w:rsidRDefault="00F03A2A" w:rsidP="00BE6BE0">
            <w:pPr>
              <w:rPr>
                <w:rFonts w:ascii="Lato Regular" w:eastAsia="Times New Roman" w:hAnsi="Lato Regular" w:cs="Times New Roman"/>
                <w:sz w:val="20"/>
                <w:szCs w:val="20"/>
              </w:rPr>
            </w:pPr>
            <w:r w:rsidRPr="007020CF">
              <w:rPr>
                <w:rFonts w:ascii="Lato Regular" w:hAnsi="Lato Regular"/>
                <w:sz w:val="20"/>
                <w:szCs w:val="20"/>
              </w:rPr>
              <w:t xml:space="preserve">5 </w:t>
            </w:r>
            <w:r w:rsidRPr="00F03A2A">
              <w:rPr>
                <w:rFonts w:ascii="Lato Regular" w:hAnsi="Lato Regular"/>
                <w:i/>
                <w:sz w:val="20"/>
                <w:szCs w:val="20"/>
              </w:rPr>
              <w:t>Use IT to demand greater accountability and delivery on SRHR)</w:t>
            </w:r>
          </w:p>
        </w:tc>
        <w:tc>
          <w:tcPr>
            <w:tcW w:w="2551" w:type="dxa"/>
          </w:tcPr>
          <w:p w14:paraId="0638C725" w14:textId="77777777" w:rsidR="00F03A2A" w:rsidRPr="007020CF" w:rsidRDefault="00F03A2A" w:rsidP="00BE6BE0">
            <w:pPr>
              <w:rPr>
                <w:rFonts w:ascii="Lato Regular" w:eastAsia="Times New Roman" w:hAnsi="Lato Regular"/>
                <w:sz w:val="20"/>
                <w:szCs w:val="20"/>
                <w:highlight w:val="yellow"/>
              </w:rPr>
            </w:pPr>
            <w:r w:rsidRPr="00BC456A">
              <w:rPr>
                <w:rFonts w:ascii="Lato Regular" w:eastAsia="Times New Roman" w:hAnsi="Lato Regular"/>
                <w:sz w:val="20"/>
                <w:szCs w:val="20"/>
                <w:highlight w:val="yellow"/>
              </w:rPr>
              <w:t>Increased range (i.e. # of different types) of SRHR services (including information and products) available due to AmplifyChange grantee activity</w:t>
            </w:r>
            <w:r w:rsidRPr="00BC456A">
              <w:rPr>
                <w:rFonts w:ascii="Lato Regular" w:eastAsia="Times New Roman" w:hAnsi="Lato Regular" w:cs="Times New Roman"/>
                <w:i/>
                <w:color w:val="000000" w:themeColor="text1"/>
                <w:sz w:val="20"/>
                <w:szCs w:val="20"/>
              </w:rPr>
              <w:t xml:space="preserve"> (increased range of SRHR services includes, but not limited to: comprehensive youth friendly SRHR services with better opening hours, in better locations for youth. These services can range from SRHR counselling, </w:t>
            </w:r>
            <w:r w:rsidRPr="00BC456A">
              <w:rPr>
                <w:rFonts w:ascii="Lato Regular" w:eastAsia="Times New Roman" w:hAnsi="Lato Regular" w:cs="Times New Roman"/>
                <w:i/>
                <w:color w:val="000000" w:themeColor="text1"/>
                <w:sz w:val="20"/>
                <w:szCs w:val="20"/>
              </w:rPr>
              <w:lastRenderedPageBreak/>
              <w:t>provision of contraceptives, STI testing and treatment, voluntary HIV testing and counselling, and abortion related counselling)</w:t>
            </w:r>
          </w:p>
        </w:tc>
        <w:tc>
          <w:tcPr>
            <w:tcW w:w="2268" w:type="dxa"/>
          </w:tcPr>
          <w:p w14:paraId="739956EB" w14:textId="77777777" w:rsidR="00F03A2A" w:rsidRDefault="00FA2C81" w:rsidP="00BE6BE0">
            <w:pPr>
              <w:rPr>
                <w:rFonts w:ascii="Lato Regular" w:hAnsi="Lato Regular"/>
                <w:sz w:val="20"/>
                <w:szCs w:val="20"/>
              </w:rPr>
            </w:pPr>
            <w:r>
              <w:rPr>
                <w:rFonts w:ascii="Lato Regular" w:hAnsi="Lato Regular"/>
                <w:sz w:val="20"/>
                <w:szCs w:val="20"/>
              </w:rPr>
              <w:lastRenderedPageBreak/>
              <w:t xml:space="preserve">Milestone </w:t>
            </w:r>
          </w:p>
          <w:p w14:paraId="4676D15B" w14:textId="5B4C59E4" w:rsidR="00FA2C81" w:rsidRDefault="00FA2C81" w:rsidP="00BE6BE0">
            <w:pPr>
              <w:rPr>
                <w:rFonts w:ascii="Lato Regular" w:hAnsi="Lato Regular"/>
                <w:sz w:val="20"/>
                <w:szCs w:val="20"/>
              </w:rPr>
            </w:pPr>
            <w:r>
              <w:rPr>
                <w:rFonts w:ascii="Lato Regular" w:hAnsi="Lato Regular"/>
                <w:sz w:val="20"/>
                <w:szCs w:val="20"/>
              </w:rPr>
              <w:t>Junior councillors involved in strengthening SRHR action plans in councils and mapping of services</w:t>
            </w:r>
            <w:r w:rsidR="001065BE">
              <w:rPr>
                <w:rFonts w:ascii="Lato Regular" w:hAnsi="Lato Regular"/>
                <w:sz w:val="20"/>
                <w:szCs w:val="20"/>
              </w:rPr>
              <w:t>, drawing up a checklist for youth-friendly services</w:t>
            </w:r>
          </w:p>
          <w:p w14:paraId="5C071726" w14:textId="77777777" w:rsidR="00FA2C81" w:rsidRDefault="00FA2C81" w:rsidP="00BE6BE0">
            <w:pPr>
              <w:rPr>
                <w:rFonts w:ascii="Lato Regular" w:hAnsi="Lato Regular"/>
                <w:sz w:val="20"/>
                <w:szCs w:val="20"/>
              </w:rPr>
            </w:pPr>
          </w:p>
          <w:p w14:paraId="170FF602" w14:textId="77777777" w:rsidR="00FA2C81" w:rsidRDefault="00FA2C81" w:rsidP="00BE6BE0">
            <w:pPr>
              <w:rPr>
                <w:rFonts w:ascii="Lato Regular" w:hAnsi="Lato Regular"/>
                <w:sz w:val="20"/>
                <w:szCs w:val="20"/>
              </w:rPr>
            </w:pPr>
            <w:r>
              <w:rPr>
                <w:rFonts w:ascii="Lato Regular" w:hAnsi="Lato Regular"/>
                <w:sz w:val="20"/>
                <w:szCs w:val="20"/>
              </w:rPr>
              <w:t xml:space="preserve">Means of verification </w:t>
            </w:r>
          </w:p>
          <w:p w14:paraId="4B3C7FF4" w14:textId="60666375" w:rsidR="00FA2C81" w:rsidRPr="007020CF" w:rsidRDefault="00FA2C81" w:rsidP="00BE6BE0">
            <w:pPr>
              <w:rPr>
                <w:rFonts w:ascii="Lato Regular" w:hAnsi="Lato Regular"/>
                <w:sz w:val="20"/>
                <w:szCs w:val="20"/>
              </w:rPr>
            </w:pPr>
            <w:r>
              <w:rPr>
                <w:rFonts w:ascii="Lato Regular" w:hAnsi="Lato Regular"/>
                <w:sz w:val="20"/>
                <w:szCs w:val="20"/>
              </w:rPr>
              <w:t xml:space="preserve">Youth friendly SRHR action plans and baseline mapping of existing services. </w:t>
            </w:r>
            <w:r w:rsidR="001065BE">
              <w:rPr>
                <w:rFonts w:ascii="Lato Regular" w:hAnsi="Lato Regular"/>
                <w:sz w:val="20"/>
                <w:szCs w:val="20"/>
              </w:rPr>
              <w:t xml:space="preserve"> Youth friendly </w:t>
            </w:r>
            <w:r w:rsidR="001065BE">
              <w:rPr>
                <w:rFonts w:ascii="Lato Regular" w:hAnsi="Lato Regular"/>
                <w:sz w:val="20"/>
                <w:szCs w:val="20"/>
              </w:rPr>
              <w:lastRenderedPageBreak/>
              <w:t>checklist</w:t>
            </w:r>
          </w:p>
        </w:tc>
        <w:tc>
          <w:tcPr>
            <w:tcW w:w="2410" w:type="dxa"/>
          </w:tcPr>
          <w:p w14:paraId="7BD33C33" w14:textId="71B97A65" w:rsidR="00FA2C81" w:rsidRDefault="00FA2C81" w:rsidP="00BE6BE0">
            <w:pPr>
              <w:rPr>
                <w:rFonts w:ascii="Lato Regular" w:hAnsi="Lato Regular"/>
                <w:sz w:val="20"/>
                <w:szCs w:val="20"/>
              </w:rPr>
            </w:pPr>
            <w:r>
              <w:rPr>
                <w:rFonts w:ascii="Lato Regular" w:hAnsi="Lato Regular"/>
                <w:sz w:val="20"/>
                <w:szCs w:val="20"/>
              </w:rPr>
              <w:lastRenderedPageBreak/>
              <w:t xml:space="preserve">Milestone </w:t>
            </w:r>
          </w:p>
          <w:p w14:paraId="6B057F3E"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Youth, in particular junior councillors advocate for improved SRHR in service delivery, use social media tools to rate the quality of </w:t>
            </w:r>
            <w:proofErr w:type="gramStart"/>
            <w:r w:rsidRPr="007020CF">
              <w:rPr>
                <w:rFonts w:ascii="Lato Regular" w:hAnsi="Lato Regular"/>
                <w:sz w:val="20"/>
                <w:szCs w:val="20"/>
              </w:rPr>
              <w:t>services .</w:t>
            </w:r>
            <w:proofErr w:type="gramEnd"/>
          </w:p>
          <w:p w14:paraId="4CEF51ED" w14:textId="77777777" w:rsidR="00F03A2A" w:rsidRPr="007020CF" w:rsidRDefault="00F03A2A" w:rsidP="00BE6BE0">
            <w:pPr>
              <w:rPr>
                <w:rFonts w:ascii="Lato Regular" w:hAnsi="Lato Regular"/>
                <w:sz w:val="20"/>
                <w:szCs w:val="20"/>
              </w:rPr>
            </w:pPr>
          </w:p>
          <w:p w14:paraId="1C19176B" w14:textId="77777777" w:rsidR="001065BE" w:rsidRDefault="001065BE" w:rsidP="00BE6BE0">
            <w:pPr>
              <w:rPr>
                <w:rFonts w:ascii="Lato Regular" w:hAnsi="Lato Regular"/>
                <w:sz w:val="20"/>
                <w:szCs w:val="20"/>
              </w:rPr>
            </w:pPr>
          </w:p>
          <w:p w14:paraId="1426DA3A"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318E907A"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Youth “trip advisor” tool for SRHR services </w:t>
            </w:r>
          </w:p>
          <w:p w14:paraId="45497502"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learnt used for strengthening project implementation</w:t>
            </w:r>
          </w:p>
        </w:tc>
        <w:tc>
          <w:tcPr>
            <w:tcW w:w="2552" w:type="dxa"/>
          </w:tcPr>
          <w:p w14:paraId="303CE839" w14:textId="77777777" w:rsidR="00F03A2A" w:rsidRDefault="00FA2C81" w:rsidP="00BE6BE0">
            <w:pPr>
              <w:rPr>
                <w:rFonts w:ascii="Lato Regular" w:hAnsi="Lato Regular"/>
                <w:sz w:val="20"/>
                <w:szCs w:val="20"/>
              </w:rPr>
            </w:pPr>
            <w:r>
              <w:rPr>
                <w:rFonts w:ascii="Lato Regular" w:hAnsi="Lato Regular"/>
                <w:sz w:val="20"/>
                <w:szCs w:val="20"/>
              </w:rPr>
              <w:t xml:space="preserve">Milestone </w:t>
            </w:r>
          </w:p>
          <w:p w14:paraId="2D493713" w14:textId="77777777" w:rsidR="00FA2C81" w:rsidRDefault="00FA2C81" w:rsidP="00BE6BE0">
            <w:pPr>
              <w:rPr>
                <w:rFonts w:ascii="Lato Regular" w:hAnsi="Lato Regular"/>
                <w:sz w:val="20"/>
                <w:szCs w:val="20"/>
              </w:rPr>
            </w:pPr>
            <w:r>
              <w:rPr>
                <w:rFonts w:ascii="Lato Regular" w:hAnsi="Lato Regular"/>
                <w:sz w:val="20"/>
                <w:szCs w:val="20"/>
              </w:rPr>
              <w:t xml:space="preserve">Youth led local level advocacy on SRHR including talk shows, local community </w:t>
            </w:r>
            <w:proofErr w:type="gramStart"/>
            <w:r>
              <w:rPr>
                <w:rFonts w:ascii="Lato Regular" w:hAnsi="Lato Regular"/>
                <w:sz w:val="20"/>
                <w:szCs w:val="20"/>
              </w:rPr>
              <w:t>drama,</w:t>
            </w:r>
            <w:proofErr w:type="gramEnd"/>
            <w:r>
              <w:rPr>
                <w:rFonts w:ascii="Lato Regular" w:hAnsi="Lato Regular"/>
                <w:sz w:val="20"/>
                <w:szCs w:val="20"/>
              </w:rPr>
              <w:t xml:space="preserve"> youth focused campaigns on social media. </w:t>
            </w:r>
          </w:p>
          <w:p w14:paraId="65AB8E5F" w14:textId="77777777" w:rsidR="00FA2C81" w:rsidRDefault="00FA2C81" w:rsidP="00BE6BE0">
            <w:pPr>
              <w:rPr>
                <w:rFonts w:ascii="Lato Regular" w:hAnsi="Lato Regular"/>
                <w:sz w:val="20"/>
                <w:szCs w:val="20"/>
              </w:rPr>
            </w:pPr>
          </w:p>
          <w:p w14:paraId="0181BD24" w14:textId="77777777" w:rsidR="00FA2C81" w:rsidRDefault="00FA2C81" w:rsidP="00BE6BE0">
            <w:pPr>
              <w:rPr>
                <w:rFonts w:ascii="Lato Regular" w:hAnsi="Lato Regular"/>
                <w:sz w:val="20"/>
                <w:szCs w:val="20"/>
              </w:rPr>
            </w:pPr>
          </w:p>
          <w:p w14:paraId="09A42FA1" w14:textId="77777777" w:rsidR="001065BE" w:rsidRDefault="001065BE" w:rsidP="00BE6BE0">
            <w:pPr>
              <w:rPr>
                <w:rFonts w:ascii="Lato Regular" w:hAnsi="Lato Regular"/>
                <w:sz w:val="20"/>
                <w:szCs w:val="20"/>
              </w:rPr>
            </w:pPr>
          </w:p>
          <w:p w14:paraId="45793A0C" w14:textId="77777777" w:rsidR="00FA2C81" w:rsidRDefault="00FA2C81" w:rsidP="00BE6BE0">
            <w:pPr>
              <w:rPr>
                <w:rFonts w:ascii="Lato Regular" w:hAnsi="Lato Regular"/>
                <w:sz w:val="20"/>
                <w:szCs w:val="20"/>
              </w:rPr>
            </w:pPr>
            <w:r>
              <w:rPr>
                <w:rFonts w:ascii="Lato Regular" w:hAnsi="Lato Regular"/>
                <w:sz w:val="20"/>
                <w:szCs w:val="20"/>
              </w:rPr>
              <w:t xml:space="preserve">Means of verification: </w:t>
            </w:r>
          </w:p>
          <w:p w14:paraId="2E1A9BA7" w14:textId="56B4A9F6" w:rsidR="001065BE" w:rsidRPr="007020CF" w:rsidRDefault="001065BE" w:rsidP="00BE6BE0">
            <w:pPr>
              <w:rPr>
                <w:rFonts w:ascii="Lato Regular" w:hAnsi="Lato Regular"/>
                <w:sz w:val="20"/>
                <w:szCs w:val="20"/>
              </w:rPr>
            </w:pPr>
            <w:r>
              <w:rPr>
                <w:rFonts w:ascii="Lato Regular" w:hAnsi="Lato Regular"/>
                <w:sz w:val="20"/>
                <w:szCs w:val="20"/>
              </w:rPr>
              <w:t xml:space="preserve">Reports and communication statistics on local level initiatives </w:t>
            </w:r>
          </w:p>
        </w:tc>
        <w:tc>
          <w:tcPr>
            <w:tcW w:w="2693" w:type="dxa"/>
          </w:tcPr>
          <w:p w14:paraId="6BE926C5" w14:textId="77777777" w:rsidR="00F03A2A" w:rsidRDefault="001065BE" w:rsidP="00BE6BE0">
            <w:pPr>
              <w:rPr>
                <w:rFonts w:ascii="Lato Regular" w:hAnsi="Lato Regular"/>
                <w:sz w:val="20"/>
                <w:szCs w:val="20"/>
              </w:rPr>
            </w:pPr>
            <w:r>
              <w:rPr>
                <w:rFonts w:ascii="Lato Regular" w:hAnsi="Lato Regular"/>
                <w:sz w:val="20"/>
                <w:szCs w:val="20"/>
              </w:rPr>
              <w:t xml:space="preserve">Milestone </w:t>
            </w:r>
          </w:p>
          <w:p w14:paraId="1B216B47" w14:textId="77777777" w:rsidR="001065BE" w:rsidRDefault="001065BE" w:rsidP="00BE6BE0">
            <w:pPr>
              <w:rPr>
                <w:rFonts w:ascii="Lato Regular" w:hAnsi="Lato Regular"/>
                <w:sz w:val="20"/>
                <w:szCs w:val="20"/>
              </w:rPr>
            </w:pPr>
            <w:r>
              <w:rPr>
                <w:rFonts w:ascii="Lato Regular" w:hAnsi="Lato Regular"/>
                <w:sz w:val="20"/>
                <w:szCs w:val="20"/>
              </w:rPr>
              <w:t xml:space="preserve">Comprehensive youth friendly services in participating COEs </w:t>
            </w:r>
          </w:p>
          <w:p w14:paraId="6C1D4866" w14:textId="77777777" w:rsidR="001065BE" w:rsidRDefault="001065BE" w:rsidP="00BE6BE0">
            <w:pPr>
              <w:rPr>
                <w:rFonts w:ascii="Lato Regular" w:hAnsi="Lato Regular"/>
                <w:sz w:val="20"/>
                <w:szCs w:val="20"/>
              </w:rPr>
            </w:pPr>
          </w:p>
          <w:p w14:paraId="3A6F6771" w14:textId="77777777" w:rsidR="001065BE" w:rsidRDefault="001065BE" w:rsidP="00BE6BE0">
            <w:pPr>
              <w:rPr>
                <w:rFonts w:ascii="Lato Regular" w:hAnsi="Lato Regular"/>
                <w:sz w:val="20"/>
                <w:szCs w:val="20"/>
              </w:rPr>
            </w:pPr>
          </w:p>
          <w:p w14:paraId="5EE03397" w14:textId="77777777" w:rsidR="001065BE" w:rsidRDefault="001065BE" w:rsidP="00BE6BE0">
            <w:pPr>
              <w:rPr>
                <w:rFonts w:ascii="Lato Regular" w:hAnsi="Lato Regular"/>
                <w:sz w:val="20"/>
                <w:szCs w:val="20"/>
              </w:rPr>
            </w:pPr>
          </w:p>
          <w:p w14:paraId="5A280404" w14:textId="77777777" w:rsidR="001065BE" w:rsidRDefault="001065BE" w:rsidP="00BE6BE0">
            <w:pPr>
              <w:rPr>
                <w:rFonts w:ascii="Lato Regular" w:hAnsi="Lato Regular"/>
                <w:sz w:val="20"/>
                <w:szCs w:val="20"/>
              </w:rPr>
            </w:pPr>
          </w:p>
          <w:p w14:paraId="4C2EF754" w14:textId="77777777" w:rsidR="001065BE" w:rsidRDefault="001065BE" w:rsidP="00BE6BE0">
            <w:pPr>
              <w:rPr>
                <w:rFonts w:ascii="Lato Regular" w:hAnsi="Lato Regular"/>
                <w:sz w:val="20"/>
                <w:szCs w:val="20"/>
              </w:rPr>
            </w:pPr>
          </w:p>
          <w:p w14:paraId="7AC3D919" w14:textId="77777777" w:rsidR="001065BE" w:rsidRDefault="001065BE" w:rsidP="00BE6BE0">
            <w:pPr>
              <w:rPr>
                <w:rFonts w:ascii="Lato Regular" w:hAnsi="Lato Regular"/>
                <w:sz w:val="20"/>
                <w:szCs w:val="20"/>
              </w:rPr>
            </w:pPr>
          </w:p>
          <w:p w14:paraId="40D31E3E" w14:textId="77777777" w:rsidR="001065BE" w:rsidRDefault="001065BE" w:rsidP="00BE6BE0">
            <w:pPr>
              <w:rPr>
                <w:rFonts w:ascii="Lato Regular" w:hAnsi="Lato Regular"/>
                <w:sz w:val="20"/>
                <w:szCs w:val="20"/>
              </w:rPr>
            </w:pPr>
            <w:r>
              <w:rPr>
                <w:rFonts w:ascii="Lato Regular" w:hAnsi="Lato Regular"/>
                <w:sz w:val="20"/>
                <w:szCs w:val="20"/>
              </w:rPr>
              <w:t xml:space="preserve">Means of verification </w:t>
            </w:r>
          </w:p>
          <w:p w14:paraId="4DD22BE9" w14:textId="530258E4" w:rsidR="001065BE" w:rsidRPr="007020CF" w:rsidRDefault="001065BE" w:rsidP="00BE6BE0">
            <w:pPr>
              <w:rPr>
                <w:rFonts w:ascii="Lato Regular" w:hAnsi="Lato Regular"/>
                <w:sz w:val="20"/>
                <w:szCs w:val="20"/>
              </w:rPr>
            </w:pPr>
            <w:r>
              <w:rPr>
                <w:rFonts w:ascii="Lato Regular" w:hAnsi="Lato Regular"/>
                <w:sz w:val="20"/>
                <w:szCs w:val="20"/>
              </w:rPr>
              <w:t xml:space="preserve">Project evaluation </w:t>
            </w:r>
          </w:p>
        </w:tc>
      </w:tr>
      <w:tr w:rsidR="00F03A2A" w:rsidRPr="007020CF" w14:paraId="09AF450E" w14:textId="77777777" w:rsidTr="00BE6BE0">
        <w:tc>
          <w:tcPr>
            <w:tcW w:w="2255" w:type="dxa"/>
          </w:tcPr>
          <w:p w14:paraId="6BB8F931" w14:textId="7E3C0A5C" w:rsidR="00F03A2A" w:rsidRPr="007020CF" w:rsidRDefault="00F03A2A" w:rsidP="00BE6BE0">
            <w:pPr>
              <w:rPr>
                <w:rFonts w:ascii="Lato Regular" w:hAnsi="Lato Regular"/>
                <w:sz w:val="20"/>
                <w:szCs w:val="20"/>
              </w:rPr>
            </w:pPr>
            <w:proofErr w:type="spellStart"/>
            <w:r w:rsidRPr="007020CF">
              <w:rPr>
                <w:rFonts w:ascii="Lato Regular" w:hAnsi="Lato Regular"/>
                <w:sz w:val="20"/>
                <w:szCs w:val="20"/>
              </w:rPr>
              <w:lastRenderedPageBreak/>
              <w:t>MB6.1</w:t>
            </w:r>
            <w:proofErr w:type="spellEnd"/>
          </w:p>
          <w:p w14:paraId="323CAF68" w14:textId="77777777" w:rsidR="00F03A2A" w:rsidRPr="00F03A2A" w:rsidRDefault="00F03A2A" w:rsidP="00BE6BE0">
            <w:pPr>
              <w:rPr>
                <w:rFonts w:ascii="Lato Regular" w:hAnsi="Lato Regular"/>
                <w:i/>
                <w:sz w:val="20"/>
                <w:szCs w:val="20"/>
              </w:rPr>
            </w:pPr>
            <w:r w:rsidRPr="00F03A2A">
              <w:rPr>
                <w:rFonts w:ascii="Lato Regular" w:hAnsi="Lato Regular"/>
                <w:i/>
                <w:sz w:val="20"/>
                <w:szCs w:val="20"/>
              </w:rPr>
              <w:t xml:space="preserve">(6. Gather and share best practices on enhancing SRHR for youth, </w:t>
            </w:r>
            <w:proofErr w:type="spellStart"/>
            <w:r w:rsidRPr="00F03A2A">
              <w:rPr>
                <w:rFonts w:ascii="Lato Regular" w:hAnsi="Lato Regular"/>
                <w:i/>
                <w:sz w:val="20"/>
                <w:szCs w:val="20"/>
              </w:rPr>
              <w:t>LGBTI</w:t>
            </w:r>
            <w:proofErr w:type="spellEnd"/>
            <w:r w:rsidRPr="00F03A2A">
              <w:rPr>
                <w:rFonts w:ascii="Lato Regular" w:hAnsi="Lato Regular"/>
                <w:i/>
                <w:sz w:val="20"/>
                <w:szCs w:val="20"/>
              </w:rPr>
              <w:t xml:space="preserve"> persons and key populations through annual SADC Protocol@Work summits)  </w:t>
            </w:r>
          </w:p>
          <w:p w14:paraId="5D22041E" w14:textId="77777777" w:rsidR="00F03A2A" w:rsidRPr="007020CF" w:rsidRDefault="00F03A2A" w:rsidP="00BE6BE0">
            <w:pPr>
              <w:rPr>
                <w:rFonts w:ascii="Lato Regular" w:hAnsi="Lato Regular"/>
                <w:sz w:val="20"/>
                <w:szCs w:val="20"/>
              </w:rPr>
            </w:pPr>
          </w:p>
        </w:tc>
        <w:tc>
          <w:tcPr>
            <w:tcW w:w="2551" w:type="dxa"/>
          </w:tcPr>
          <w:p w14:paraId="7D04DCD8" w14:textId="77777777" w:rsidR="00F03A2A" w:rsidRPr="007020CF" w:rsidRDefault="00F03A2A" w:rsidP="00BE6BE0">
            <w:pPr>
              <w:rPr>
                <w:rFonts w:ascii="Lato Regular" w:hAnsi="Lato Regular"/>
                <w:i/>
                <w:sz w:val="20"/>
                <w:szCs w:val="20"/>
                <w:highlight w:val="yellow"/>
              </w:rPr>
            </w:pPr>
            <w:r w:rsidRPr="007020CF">
              <w:rPr>
                <w:rFonts w:ascii="Lato Regular" w:hAnsi="Lato Regular"/>
                <w:sz w:val="20"/>
                <w:szCs w:val="20"/>
                <w:highlight w:val="yellow"/>
              </w:rPr>
              <w:t>Lessons learnt from grantees gathered and shared by   AmplifyChange, and used by grantees and AmplifyChange to adapt activities</w:t>
            </w:r>
          </w:p>
        </w:tc>
        <w:tc>
          <w:tcPr>
            <w:tcW w:w="2268" w:type="dxa"/>
          </w:tcPr>
          <w:p w14:paraId="3E994487"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0A7B19BB" w14:textId="77777777" w:rsidR="00F03A2A" w:rsidRDefault="00F03A2A" w:rsidP="00BE6BE0">
            <w:pPr>
              <w:rPr>
                <w:rFonts w:ascii="Lato Regular" w:hAnsi="Lato Regular"/>
                <w:sz w:val="20"/>
                <w:szCs w:val="20"/>
              </w:rPr>
            </w:pPr>
            <w:r w:rsidRPr="007020CF">
              <w:rPr>
                <w:rFonts w:ascii="Lato Regular" w:hAnsi="Lato Regular"/>
                <w:sz w:val="20"/>
                <w:szCs w:val="20"/>
              </w:rPr>
              <w:t xml:space="preserve">Partner inception meeting to share information on what initiatives are being undertaken. </w:t>
            </w:r>
          </w:p>
          <w:p w14:paraId="2F96D8D3" w14:textId="77777777" w:rsidR="00415C43" w:rsidRDefault="00415C43" w:rsidP="00BE6BE0">
            <w:pPr>
              <w:rPr>
                <w:rFonts w:ascii="Lato Regular" w:hAnsi="Lato Regular"/>
                <w:sz w:val="20"/>
                <w:szCs w:val="20"/>
              </w:rPr>
            </w:pPr>
          </w:p>
          <w:p w14:paraId="4908F1D7" w14:textId="77777777" w:rsidR="00415C43" w:rsidRDefault="00415C43" w:rsidP="00BE6BE0">
            <w:pPr>
              <w:rPr>
                <w:rFonts w:ascii="Lato Regular" w:hAnsi="Lato Regular"/>
                <w:sz w:val="20"/>
                <w:szCs w:val="20"/>
              </w:rPr>
            </w:pPr>
          </w:p>
          <w:p w14:paraId="7732A11D" w14:textId="77777777" w:rsidR="00415C43" w:rsidRDefault="00415C43" w:rsidP="00BE6BE0">
            <w:pPr>
              <w:rPr>
                <w:rFonts w:ascii="Lato Regular" w:hAnsi="Lato Regular"/>
                <w:sz w:val="20"/>
                <w:szCs w:val="20"/>
              </w:rPr>
            </w:pPr>
            <w:r>
              <w:rPr>
                <w:rFonts w:ascii="Lato Regular" w:hAnsi="Lato Regular"/>
                <w:sz w:val="20"/>
                <w:szCs w:val="20"/>
              </w:rPr>
              <w:t xml:space="preserve">Means of verification </w:t>
            </w:r>
          </w:p>
          <w:p w14:paraId="6C5BD7D5" w14:textId="57EA19EE" w:rsidR="00415C43" w:rsidRDefault="00415C43" w:rsidP="00BE6BE0">
            <w:pPr>
              <w:rPr>
                <w:rFonts w:ascii="Lato Regular" w:hAnsi="Lato Regular"/>
                <w:sz w:val="20"/>
                <w:szCs w:val="20"/>
              </w:rPr>
            </w:pPr>
            <w:r>
              <w:rPr>
                <w:rFonts w:ascii="Lato Regular" w:hAnsi="Lato Regular"/>
                <w:sz w:val="20"/>
                <w:szCs w:val="20"/>
              </w:rPr>
              <w:t xml:space="preserve">Reports on meetings and partner mapping. </w:t>
            </w:r>
          </w:p>
          <w:p w14:paraId="18E6C4D7" w14:textId="77777777" w:rsidR="00415C43" w:rsidRPr="007020CF" w:rsidRDefault="00415C43" w:rsidP="00BE6BE0">
            <w:pPr>
              <w:rPr>
                <w:rFonts w:ascii="Lato Regular" w:hAnsi="Lato Regular"/>
                <w:sz w:val="20"/>
                <w:szCs w:val="20"/>
              </w:rPr>
            </w:pPr>
          </w:p>
        </w:tc>
        <w:tc>
          <w:tcPr>
            <w:tcW w:w="2410" w:type="dxa"/>
          </w:tcPr>
          <w:p w14:paraId="681A1EC1"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4D1ACA39" w14:textId="7E10763C" w:rsidR="00F03A2A" w:rsidRPr="007020CF" w:rsidRDefault="00F03A2A" w:rsidP="00BE6BE0">
            <w:pPr>
              <w:rPr>
                <w:rFonts w:ascii="Lato Regular" w:hAnsi="Lato Regular"/>
                <w:sz w:val="20"/>
                <w:szCs w:val="20"/>
              </w:rPr>
            </w:pPr>
            <w:r w:rsidRPr="007020CF">
              <w:rPr>
                <w:rFonts w:ascii="Lato Regular" w:hAnsi="Lato Regular"/>
                <w:sz w:val="20"/>
                <w:szCs w:val="20"/>
              </w:rPr>
              <w:t xml:space="preserve">SADC Gender Protocol Summits showcasing </w:t>
            </w:r>
            <w:r w:rsidR="00415C43">
              <w:rPr>
                <w:rFonts w:ascii="Lato Regular" w:hAnsi="Lato Regular"/>
                <w:sz w:val="20"/>
                <w:szCs w:val="20"/>
              </w:rPr>
              <w:t xml:space="preserve">50 </w:t>
            </w:r>
            <w:r w:rsidRPr="007020CF">
              <w:rPr>
                <w:rFonts w:ascii="Lato Regular" w:hAnsi="Lato Regular"/>
                <w:sz w:val="20"/>
                <w:szCs w:val="20"/>
              </w:rPr>
              <w:t>SRHR best practices in target countries. (2019)</w:t>
            </w:r>
            <w:r>
              <w:rPr>
                <w:rFonts w:ascii="Lato Regular" w:hAnsi="Lato Regular"/>
                <w:sz w:val="20"/>
                <w:szCs w:val="20"/>
              </w:rPr>
              <w:t xml:space="preserve">. </w:t>
            </w:r>
            <w:r w:rsidR="00F4343F">
              <w:rPr>
                <w:rFonts w:ascii="Lato Regular" w:hAnsi="Lato Regular"/>
                <w:sz w:val="20"/>
                <w:szCs w:val="20"/>
              </w:rPr>
              <w:t>Partner engagement on analysis of the case studies</w:t>
            </w:r>
          </w:p>
          <w:p w14:paraId="17CCCD11" w14:textId="77777777" w:rsidR="00F03A2A" w:rsidRPr="007020CF" w:rsidRDefault="00F03A2A" w:rsidP="00BE6BE0">
            <w:pPr>
              <w:rPr>
                <w:rFonts w:ascii="Lato Regular" w:hAnsi="Lato Regular"/>
                <w:sz w:val="20"/>
                <w:szCs w:val="20"/>
              </w:rPr>
            </w:pPr>
          </w:p>
          <w:p w14:paraId="26E3CF48"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0C93C949" w14:textId="2E000725" w:rsidR="00F03A2A" w:rsidRPr="007020CF" w:rsidRDefault="00F03A2A" w:rsidP="00BE6BE0">
            <w:pPr>
              <w:rPr>
                <w:rFonts w:ascii="Lato Regular" w:hAnsi="Lato Regular"/>
                <w:sz w:val="20"/>
                <w:szCs w:val="20"/>
              </w:rPr>
            </w:pPr>
            <w:r w:rsidRPr="007020CF">
              <w:rPr>
                <w:rFonts w:ascii="Lato Regular" w:hAnsi="Lato Regular"/>
                <w:sz w:val="20"/>
                <w:szCs w:val="20"/>
              </w:rPr>
              <w:t xml:space="preserve">SRHR case studies at summit </w:t>
            </w:r>
            <w:r w:rsidR="00F4343F">
              <w:rPr>
                <w:rFonts w:ascii="Lato Regular" w:hAnsi="Lato Regular"/>
                <w:sz w:val="20"/>
                <w:szCs w:val="20"/>
              </w:rPr>
              <w:t xml:space="preserve">and analysis of these in Survey Gizmo </w:t>
            </w:r>
          </w:p>
        </w:tc>
        <w:tc>
          <w:tcPr>
            <w:tcW w:w="2552" w:type="dxa"/>
          </w:tcPr>
          <w:p w14:paraId="1C9DBDFA"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6A8DEC18" w14:textId="4D890A09" w:rsidR="00F03A2A" w:rsidRPr="007020CF" w:rsidRDefault="00F4343F" w:rsidP="00BE6BE0">
            <w:pPr>
              <w:rPr>
                <w:rFonts w:ascii="Lato Regular" w:hAnsi="Lato Regular"/>
                <w:sz w:val="20"/>
                <w:szCs w:val="20"/>
              </w:rPr>
            </w:pPr>
            <w:r>
              <w:rPr>
                <w:rFonts w:ascii="Lato Regular" w:hAnsi="Lato Regular"/>
                <w:sz w:val="20"/>
                <w:szCs w:val="20"/>
              </w:rPr>
              <w:t>C</w:t>
            </w:r>
            <w:r w:rsidR="00F03A2A" w:rsidRPr="007020CF">
              <w:rPr>
                <w:rFonts w:ascii="Lato Regular" w:hAnsi="Lato Regular"/>
                <w:sz w:val="20"/>
                <w:szCs w:val="20"/>
              </w:rPr>
              <w:t xml:space="preserve">ountry specific case study analysis on SRHR </w:t>
            </w:r>
          </w:p>
          <w:p w14:paraId="61A75179" w14:textId="77777777" w:rsidR="00F03A2A" w:rsidRPr="007020CF" w:rsidRDefault="00F03A2A" w:rsidP="00BE6BE0">
            <w:pPr>
              <w:rPr>
                <w:rFonts w:ascii="Lato Regular" w:hAnsi="Lato Regular"/>
                <w:sz w:val="20"/>
                <w:szCs w:val="20"/>
              </w:rPr>
            </w:pPr>
          </w:p>
          <w:p w14:paraId="75EE4090" w14:textId="77777777" w:rsidR="00F03A2A" w:rsidRDefault="00F03A2A" w:rsidP="00BE6BE0">
            <w:pPr>
              <w:rPr>
                <w:rFonts w:ascii="Lato Regular" w:hAnsi="Lato Regular"/>
                <w:sz w:val="20"/>
                <w:szCs w:val="20"/>
              </w:rPr>
            </w:pPr>
          </w:p>
          <w:p w14:paraId="43F86958" w14:textId="77777777" w:rsidR="00F4343F" w:rsidRDefault="00F4343F" w:rsidP="00BE6BE0">
            <w:pPr>
              <w:rPr>
                <w:rFonts w:ascii="Lato Regular" w:hAnsi="Lato Regular"/>
                <w:sz w:val="20"/>
                <w:szCs w:val="20"/>
              </w:rPr>
            </w:pPr>
          </w:p>
          <w:p w14:paraId="2BEE303C" w14:textId="77777777" w:rsidR="00F4343F" w:rsidRDefault="00F4343F" w:rsidP="00BE6BE0">
            <w:pPr>
              <w:rPr>
                <w:rFonts w:ascii="Lato Regular" w:hAnsi="Lato Regular"/>
                <w:sz w:val="20"/>
                <w:szCs w:val="20"/>
              </w:rPr>
            </w:pPr>
          </w:p>
          <w:p w14:paraId="6BBD2A69" w14:textId="77777777" w:rsidR="00F4343F" w:rsidRDefault="00F4343F" w:rsidP="00BE6BE0">
            <w:pPr>
              <w:rPr>
                <w:rFonts w:ascii="Lato Regular" w:hAnsi="Lato Regular"/>
                <w:sz w:val="20"/>
                <w:szCs w:val="20"/>
              </w:rPr>
            </w:pPr>
          </w:p>
          <w:p w14:paraId="6AED795A"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33556F34"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 xml:space="preserve">Country case study analysis reports </w:t>
            </w:r>
          </w:p>
        </w:tc>
        <w:tc>
          <w:tcPr>
            <w:tcW w:w="2693" w:type="dxa"/>
          </w:tcPr>
          <w:p w14:paraId="6F97DAF4"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Milestone</w:t>
            </w:r>
          </w:p>
          <w:p w14:paraId="7B3CFAE1" w14:textId="2746637B" w:rsidR="00F4343F" w:rsidRPr="007020CF" w:rsidRDefault="00F4343F" w:rsidP="00F4343F">
            <w:pPr>
              <w:rPr>
                <w:rFonts w:ascii="Lato Regular" w:hAnsi="Lato Regular"/>
                <w:sz w:val="20"/>
                <w:szCs w:val="20"/>
              </w:rPr>
            </w:pPr>
            <w:r w:rsidRPr="007020CF">
              <w:rPr>
                <w:rFonts w:ascii="Lato Regular" w:hAnsi="Lato Regular"/>
                <w:sz w:val="20"/>
                <w:szCs w:val="20"/>
              </w:rPr>
              <w:t xml:space="preserve">SADC Gender Protocol Summits showcasing </w:t>
            </w:r>
            <w:r>
              <w:rPr>
                <w:rFonts w:ascii="Lato Regular" w:hAnsi="Lato Regular"/>
                <w:sz w:val="20"/>
                <w:szCs w:val="20"/>
              </w:rPr>
              <w:t xml:space="preserve">a further </w:t>
            </w:r>
            <w:r w:rsidR="00415C43">
              <w:rPr>
                <w:rFonts w:ascii="Lato Regular" w:hAnsi="Lato Regular"/>
                <w:sz w:val="20"/>
                <w:szCs w:val="20"/>
              </w:rPr>
              <w:t>50</w:t>
            </w:r>
            <w:r>
              <w:rPr>
                <w:rFonts w:ascii="Lato Regular" w:hAnsi="Lato Regular"/>
                <w:sz w:val="20"/>
                <w:szCs w:val="20"/>
              </w:rPr>
              <w:t xml:space="preserve"> </w:t>
            </w:r>
            <w:r w:rsidRPr="007020CF">
              <w:rPr>
                <w:rFonts w:ascii="Lato Regular" w:hAnsi="Lato Regular"/>
                <w:sz w:val="20"/>
                <w:szCs w:val="20"/>
              </w:rPr>
              <w:t>SRHR best prac</w:t>
            </w:r>
            <w:r>
              <w:rPr>
                <w:rFonts w:ascii="Lato Regular" w:hAnsi="Lato Regular"/>
                <w:sz w:val="20"/>
                <w:szCs w:val="20"/>
              </w:rPr>
              <w:t>tices in target countries. (2020</w:t>
            </w:r>
            <w:r w:rsidRPr="007020CF">
              <w:rPr>
                <w:rFonts w:ascii="Lato Regular" w:hAnsi="Lato Regular"/>
                <w:sz w:val="20"/>
                <w:szCs w:val="20"/>
              </w:rPr>
              <w:t>)</w:t>
            </w:r>
            <w:r>
              <w:rPr>
                <w:rFonts w:ascii="Lato Regular" w:hAnsi="Lato Regular"/>
                <w:sz w:val="20"/>
                <w:szCs w:val="20"/>
              </w:rPr>
              <w:t xml:space="preserve">. Knowledge applied to adapting activities.  </w:t>
            </w:r>
          </w:p>
          <w:p w14:paraId="2FB7C445" w14:textId="1D52E85E" w:rsidR="00F03A2A" w:rsidRPr="007020CF" w:rsidRDefault="00F03A2A" w:rsidP="00BE6BE0">
            <w:pPr>
              <w:rPr>
                <w:rFonts w:ascii="Lato Regular" w:hAnsi="Lato Regular"/>
                <w:sz w:val="20"/>
                <w:szCs w:val="20"/>
              </w:rPr>
            </w:pPr>
          </w:p>
          <w:p w14:paraId="3E57DC64" w14:textId="77777777" w:rsidR="00F03A2A" w:rsidRPr="007020CF" w:rsidRDefault="00F03A2A" w:rsidP="00BE6BE0">
            <w:pPr>
              <w:rPr>
                <w:rFonts w:ascii="Lato Regular" w:hAnsi="Lato Regular"/>
                <w:sz w:val="20"/>
                <w:szCs w:val="20"/>
              </w:rPr>
            </w:pPr>
            <w:r w:rsidRPr="007020CF">
              <w:rPr>
                <w:rFonts w:ascii="Lato Regular" w:hAnsi="Lato Regular"/>
                <w:sz w:val="20"/>
                <w:szCs w:val="20"/>
              </w:rPr>
              <w:t>Means of Verification:</w:t>
            </w:r>
          </w:p>
          <w:p w14:paraId="4BAEBDAC" w14:textId="21CE82C2" w:rsidR="00F03A2A" w:rsidRPr="007020CF" w:rsidRDefault="00415C43" w:rsidP="00BE6BE0">
            <w:pPr>
              <w:rPr>
                <w:rFonts w:ascii="Lato Regular" w:hAnsi="Lato Regular"/>
                <w:sz w:val="20"/>
                <w:szCs w:val="20"/>
              </w:rPr>
            </w:pPr>
            <w:r>
              <w:rPr>
                <w:rFonts w:ascii="Lato Regular" w:hAnsi="Lato Regular"/>
                <w:sz w:val="20"/>
                <w:szCs w:val="20"/>
              </w:rPr>
              <w:t xml:space="preserve">Analysis of SRHR case studies at summits; reports on engagement with the findings and how these have been used to adapt activities. </w:t>
            </w:r>
          </w:p>
        </w:tc>
      </w:tr>
    </w:tbl>
    <w:p w14:paraId="0951BF27" w14:textId="045D1FBC" w:rsidR="007B0A2E" w:rsidRDefault="00F03A2A" w:rsidP="00600DE1">
      <w:pPr>
        <w:rPr>
          <w:rFonts w:ascii="Lato" w:hAnsi="Lato"/>
          <w:sz w:val="19"/>
          <w:szCs w:val="19"/>
        </w:rPr>
      </w:pPr>
      <w:r>
        <w:rPr>
          <w:rFonts w:ascii="Lato" w:hAnsi="Lato"/>
          <w:sz w:val="19"/>
          <w:szCs w:val="19"/>
        </w:rPr>
        <w:br w:type="page"/>
      </w:r>
    </w:p>
    <w:p w14:paraId="0FC8B675" w14:textId="77777777" w:rsidR="005A1C0A" w:rsidRDefault="005A1C0A" w:rsidP="005A1C0A">
      <w:pPr>
        <w:spacing w:after="0"/>
        <w:jc w:val="center"/>
        <w:rPr>
          <w:rFonts w:ascii="Lato Regular" w:hAnsi="Lato Regular"/>
          <w:b/>
          <w:sz w:val="20"/>
          <w:szCs w:val="20"/>
        </w:rPr>
      </w:pPr>
      <w:r>
        <w:rPr>
          <w:rFonts w:ascii="Lato Regular" w:hAnsi="Lato Regular"/>
          <w:b/>
          <w:sz w:val="20"/>
          <w:szCs w:val="20"/>
        </w:rPr>
        <w:lastRenderedPageBreak/>
        <w:t>AmplifyChange Indicators</w:t>
      </w:r>
    </w:p>
    <w:p w14:paraId="220C4E98" w14:textId="77777777" w:rsidR="005A1C0A" w:rsidRPr="00BC456A" w:rsidRDefault="005A1C0A" w:rsidP="005A1C0A">
      <w:pPr>
        <w:jc w:val="center"/>
        <w:rPr>
          <w:rFonts w:ascii="Lato Regular" w:hAnsi="Lato Regular"/>
          <w:b/>
          <w:sz w:val="20"/>
          <w:szCs w:val="20"/>
        </w:rPr>
      </w:pPr>
      <w:r>
        <w:rPr>
          <w:rFonts w:ascii="Lato Regular" w:hAnsi="Lato Regular"/>
          <w:b/>
          <w:sz w:val="20"/>
          <w:szCs w:val="20"/>
          <w:highlight w:val="yellow"/>
        </w:rPr>
        <w:t>(</w:t>
      </w:r>
      <w:r w:rsidRPr="00A548E1">
        <w:rPr>
          <w:rFonts w:ascii="Lato Regular" w:hAnsi="Lato Regular"/>
          <w:b/>
          <w:sz w:val="20"/>
          <w:szCs w:val="20"/>
          <w:highlight w:val="yellow"/>
        </w:rPr>
        <w:t>Core indicators are highlighted in yellow</w:t>
      </w:r>
      <w:r>
        <w:rPr>
          <w:rFonts w:ascii="Lato Regular" w:hAnsi="Lato Regular"/>
          <w:b/>
          <w:sz w:val="20"/>
          <w:szCs w:val="20"/>
        </w:rPr>
        <w:t>)</w:t>
      </w:r>
    </w:p>
    <w:tbl>
      <w:tblPr>
        <w:tblW w:w="5085" w:type="pct"/>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90"/>
        <w:gridCol w:w="966"/>
        <w:gridCol w:w="9159"/>
      </w:tblGrid>
      <w:tr w:rsidR="005A1C0A" w:rsidRPr="00BC456A" w14:paraId="3F6BA291" w14:textId="77777777" w:rsidTr="00445A3E">
        <w:trPr>
          <w:trHeight w:val="20"/>
        </w:trPr>
        <w:tc>
          <w:tcPr>
            <w:tcW w:w="5000" w:type="pct"/>
            <w:gridSpan w:val="3"/>
            <w:shd w:val="clear" w:color="auto" w:fill="000000"/>
            <w:vAlign w:val="center"/>
          </w:tcPr>
          <w:p w14:paraId="4D2FD783" w14:textId="77777777" w:rsidR="005A1C0A" w:rsidRPr="00BC456A" w:rsidRDefault="005A1C0A" w:rsidP="00445A3E">
            <w:pPr>
              <w:spacing w:after="0" w:line="240" w:lineRule="auto"/>
              <w:contextualSpacing/>
              <w:rPr>
                <w:rFonts w:ascii="Lato Regular" w:eastAsia="Times New Roman" w:hAnsi="Lato Regular" w:cs="Times New Roman"/>
                <w:b/>
                <w:bCs/>
                <w:color w:val="000000"/>
                <w:sz w:val="20"/>
                <w:szCs w:val="20"/>
              </w:rPr>
            </w:pPr>
            <w:r>
              <w:rPr>
                <w:rFonts w:ascii="Lato Regular" w:eastAsia="Times New Roman" w:hAnsi="Lato Regular" w:cs="Times New Roman"/>
                <w:b/>
                <w:bCs/>
                <w:color w:val="FFFFFF" w:themeColor="background1"/>
                <w:sz w:val="20"/>
                <w:szCs w:val="20"/>
              </w:rPr>
              <w:t xml:space="preserve">OUTCOME 1: </w:t>
            </w:r>
            <w:r w:rsidRPr="00BC456A">
              <w:rPr>
                <w:rFonts w:ascii="Lato Regular" w:eastAsia="Times New Roman" w:hAnsi="Lato Regular"/>
                <w:b/>
                <w:sz w:val="20"/>
                <w:szCs w:val="20"/>
              </w:rPr>
              <w:t>Stronger, more inclusive movements for SRHR</w:t>
            </w:r>
            <w:r>
              <w:rPr>
                <w:rFonts w:ascii="Lato Regular" w:eastAsia="Times New Roman" w:hAnsi="Lato Regular"/>
                <w:b/>
                <w:sz w:val="20"/>
                <w:szCs w:val="20"/>
              </w:rPr>
              <w:t xml:space="preserve"> (MB)</w:t>
            </w:r>
          </w:p>
        </w:tc>
      </w:tr>
      <w:tr w:rsidR="005A1C0A" w:rsidRPr="00BC456A" w14:paraId="5BC1DC98" w14:textId="77777777" w:rsidTr="00445A3E">
        <w:trPr>
          <w:trHeight w:val="20"/>
        </w:trPr>
        <w:tc>
          <w:tcPr>
            <w:tcW w:w="1488" w:type="pct"/>
            <w:shd w:val="clear" w:color="auto" w:fill="auto"/>
            <w:vAlign w:val="center"/>
            <w:hideMark/>
          </w:tcPr>
          <w:p w14:paraId="1F4876AF" w14:textId="77777777" w:rsidR="005A1C0A" w:rsidRPr="00BC456A" w:rsidRDefault="005A1C0A" w:rsidP="00445A3E">
            <w:pPr>
              <w:spacing w:after="0" w:line="240" w:lineRule="auto"/>
              <w:contextualSpacing/>
              <w:rPr>
                <w:rFonts w:ascii="Lato Regular" w:eastAsia="Times New Roman" w:hAnsi="Lato Regular" w:cs="Times New Roman"/>
                <w:b/>
                <w:bCs/>
                <w:color w:val="4472C4" w:themeColor="accent5"/>
                <w:sz w:val="20"/>
                <w:szCs w:val="20"/>
              </w:rPr>
            </w:pPr>
            <w:r w:rsidRPr="00BC456A">
              <w:rPr>
                <w:rFonts w:ascii="Lato Regular" w:eastAsia="Times New Roman" w:hAnsi="Lato Regular" w:cs="Times New Roman"/>
                <w:b/>
                <w:bCs/>
                <w:color w:val="000000" w:themeColor="text1"/>
                <w:sz w:val="20"/>
                <w:szCs w:val="20"/>
              </w:rPr>
              <w:t>OUTPUT</w:t>
            </w:r>
          </w:p>
        </w:tc>
        <w:tc>
          <w:tcPr>
            <w:tcW w:w="3512" w:type="pct"/>
            <w:gridSpan w:val="2"/>
            <w:shd w:val="clear" w:color="auto" w:fill="auto"/>
            <w:vAlign w:val="center"/>
            <w:hideMark/>
          </w:tcPr>
          <w:p w14:paraId="39FDE187" w14:textId="77777777" w:rsidR="005A1C0A" w:rsidRPr="00BC456A" w:rsidRDefault="005A1C0A" w:rsidP="00445A3E">
            <w:pPr>
              <w:spacing w:after="0" w:line="240" w:lineRule="auto"/>
              <w:contextualSpacing/>
              <w:rPr>
                <w:rFonts w:ascii="Lato Regular" w:eastAsia="Times New Roman" w:hAnsi="Lato Regular" w:cs="Times New Roman"/>
                <w:b/>
                <w:bCs/>
                <w:color w:val="000000"/>
                <w:sz w:val="20"/>
                <w:szCs w:val="20"/>
              </w:rPr>
            </w:pPr>
            <w:r w:rsidRPr="00BC456A">
              <w:rPr>
                <w:rFonts w:ascii="Lato Regular" w:eastAsia="Times New Roman" w:hAnsi="Lato Regular" w:cs="Times New Roman"/>
                <w:b/>
                <w:bCs/>
                <w:color w:val="000000"/>
                <w:sz w:val="20"/>
                <w:szCs w:val="20"/>
              </w:rPr>
              <w:t>INDICATOR</w:t>
            </w:r>
            <w:r>
              <w:rPr>
                <w:rFonts w:ascii="Lato Regular" w:eastAsia="Times New Roman" w:hAnsi="Lato Regular" w:cs="Times New Roman"/>
                <w:b/>
                <w:bCs/>
                <w:color w:val="000000"/>
                <w:sz w:val="20"/>
                <w:szCs w:val="20"/>
              </w:rPr>
              <w:t xml:space="preserve"> </w:t>
            </w:r>
          </w:p>
        </w:tc>
      </w:tr>
      <w:tr w:rsidR="005A1C0A" w:rsidRPr="00BC456A" w14:paraId="161AE3FA" w14:textId="77777777" w:rsidTr="00445A3E">
        <w:trPr>
          <w:trHeight w:val="20"/>
        </w:trPr>
        <w:tc>
          <w:tcPr>
            <w:tcW w:w="1488" w:type="pct"/>
            <w:vMerge w:val="restart"/>
            <w:shd w:val="clear" w:color="auto" w:fill="auto"/>
            <w:vAlign w:val="center"/>
            <w:hideMark/>
          </w:tcPr>
          <w:p w14:paraId="3738AA48"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proofErr w:type="spellStart"/>
            <w:r w:rsidRPr="00BC456A">
              <w:rPr>
                <w:rFonts w:ascii="Lato Regular" w:eastAsia="Times New Roman" w:hAnsi="Lato Regular" w:cs="Times New Roman"/>
                <w:color w:val="000000"/>
                <w:sz w:val="20"/>
                <w:szCs w:val="20"/>
              </w:rPr>
              <w:t>MB1</w:t>
            </w:r>
            <w:proofErr w:type="spellEnd"/>
            <w:r w:rsidRPr="00BC456A">
              <w:rPr>
                <w:rFonts w:ascii="Lato Regular" w:eastAsia="Times New Roman" w:hAnsi="Lato Regular" w:cs="Times New Roman"/>
                <w:color w:val="000000"/>
                <w:sz w:val="20"/>
                <w:szCs w:val="20"/>
              </w:rPr>
              <w:t>. Improved quality of data and analysis that allow advocates to use evidence to support their work</w:t>
            </w:r>
          </w:p>
        </w:tc>
        <w:tc>
          <w:tcPr>
            <w:tcW w:w="335" w:type="pct"/>
            <w:shd w:val="clear" w:color="auto" w:fill="auto"/>
            <w:vAlign w:val="center"/>
            <w:hideMark/>
          </w:tcPr>
          <w:p w14:paraId="13E957B0" w14:textId="77777777" w:rsidR="005A1C0A" w:rsidRPr="00BC456A" w:rsidRDefault="005A1C0A" w:rsidP="00445A3E">
            <w:pPr>
              <w:spacing w:after="0" w:line="240" w:lineRule="auto"/>
              <w:contextualSpacing/>
              <w:jc w:val="center"/>
              <w:rPr>
                <w:rFonts w:ascii="Lato Regular" w:eastAsia="Times New Roman" w:hAnsi="Lato Regular" w:cs="Times New Roman"/>
                <w:color w:val="000000"/>
                <w:sz w:val="20"/>
                <w:szCs w:val="20"/>
              </w:rPr>
            </w:pPr>
            <w:proofErr w:type="spellStart"/>
            <w:r w:rsidRPr="00BC456A">
              <w:rPr>
                <w:rFonts w:ascii="Lato Regular" w:eastAsia="Times New Roman" w:hAnsi="Lato Regular" w:cs="Times New Roman"/>
                <w:color w:val="000000"/>
                <w:sz w:val="20"/>
                <w:szCs w:val="20"/>
              </w:rPr>
              <w:t>MB1.1</w:t>
            </w:r>
            <w:proofErr w:type="spellEnd"/>
          </w:p>
        </w:tc>
        <w:tc>
          <w:tcPr>
            <w:tcW w:w="3177" w:type="pct"/>
            <w:shd w:val="clear" w:color="auto" w:fill="auto"/>
            <w:vAlign w:val="center"/>
            <w:hideMark/>
          </w:tcPr>
          <w:p w14:paraId="79D5B202" w14:textId="77777777" w:rsidR="005A1C0A" w:rsidRPr="00BC456A" w:rsidRDefault="005A1C0A" w:rsidP="00445A3E">
            <w:pPr>
              <w:spacing w:line="240" w:lineRule="auto"/>
              <w:contextualSpacing/>
              <w:rPr>
                <w:rFonts w:ascii="Lato Regular" w:hAnsi="Lato Regular" w:cs="Lucida Grande"/>
                <w:sz w:val="20"/>
                <w:szCs w:val="20"/>
              </w:rPr>
            </w:pPr>
            <w:r w:rsidRPr="00BC456A">
              <w:rPr>
                <w:rFonts w:ascii="Lato Regular" w:hAnsi="Lato Regular" w:cs="Lucida Grande"/>
                <w:sz w:val="20"/>
                <w:szCs w:val="20"/>
                <w:highlight w:val="yellow"/>
              </w:rPr>
              <w:t xml:space="preserve">New evidence on SRHR generated, or existing evidence </w:t>
            </w:r>
            <w:proofErr w:type="gramStart"/>
            <w:r w:rsidRPr="00BC456A">
              <w:rPr>
                <w:rFonts w:ascii="Lato Regular" w:hAnsi="Lato Regular" w:cs="Lucida Grande"/>
                <w:sz w:val="20"/>
                <w:szCs w:val="20"/>
                <w:highlight w:val="yellow"/>
              </w:rPr>
              <w:t>synthesised,</w:t>
            </w:r>
            <w:proofErr w:type="gramEnd"/>
            <w:r w:rsidRPr="00BC456A">
              <w:rPr>
                <w:rFonts w:ascii="Lato Regular" w:hAnsi="Lato Regular" w:cs="Lucida Grande"/>
                <w:sz w:val="20"/>
                <w:szCs w:val="20"/>
                <w:highlight w:val="yellow"/>
              </w:rPr>
              <w:t xml:space="preserve"> or major gaps in SRHR knowledge/ attitudes/ </w:t>
            </w:r>
            <w:proofErr w:type="spellStart"/>
            <w:r w:rsidRPr="00BC456A">
              <w:rPr>
                <w:rFonts w:ascii="Lato Regular" w:hAnsi="Lato Regular" w:cs="Lucida Grande"/>
                <w:sz w:val="20"/>
                <w:szCs w:val="20"/>
                <w:highlight w:val="yellow"/>
              </w:rPr>
              <w:t>behavior</w:t>
            </w:r>
            <w:proofErr w:type="spellEnd"/>
            <w:r w:rsidRPr="00BC456A">
              <w:rPr>
                <w:rFonts w:ascii="Lato Regular" w:hAnsi="Lato Regular" w:cs="Lucida Grande"/>
                <w:sz w:val="20"/>
                <w:szCs w:val="20"/>
                <w:highlight w:val="yellow"/>
              </w:rPr>
              <w:t xml:space="preserve"> synthesized, which</w:t>
            </w:r>
            <w:r w:rsidRPr="00BC456A">
              <w:rPr>
                <w:rFonts w:ascii="Lato Regular" w:eastAsia="Times New Roman" w:hAnsi="Lato Regular"/>
                <w:sz w:val="20"/>
                <w:szCs w:val="20"/>
                <w:highlight w:val="yellow"/>
              </w:rPr>
              <w:t xml:space="preserve"> is used for evidence-based advocacy and policy engagement.</w:t>
            </w:r>
          </w:p>
        </w:tc>
      </w:tr>
      <w:tr w:rsidR="005A1C0A" w:rsidRPr="00BC456A" w14:paraId="24157121" w14:textId="77777777" w:rsidTr="00445A3E">
        <w:trPr>
          <w:trHeight w:val="20"/>
        </w:trPr>
        <w:tc>
          <w:tcPr>
            <w:tcW w:w="1488" w:type="pct"/>
            <w:vMerge/>
            <w:shd w:val="clear" w:color="auto" w:fill="auto"/>
            <w:vAlign w:val="center"/>
          </w:tcPr>
          <w:p w14:paraId="20A89B01"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p>
        </w:tc>
        <w:tc>
          <w:tcPr>
            <w:tcW w:w="335" w:type="pct"/>
            <w:shd w:val="clear" w:color="auto" w:fill="auto"/>
            <w:vAlign w:val="center"/>
          </w:tcPr>
          <w:p w14:paraId="7F4F3D24" w14:textId="77777777" w:rsidR="005A1C0A" w:rsidRPr="00BC456A" w:rsidRDefault="005A1C0A" w:rsidP="00445A3E">
            <w:pPr>
              <w:spacing w:after="0" w:line="240" w:lineRule="auto"/>
              <w:contextualSpacing/>
              <w:jc w:val="center"/>
              <w:rPr>
                <w:rFonts w:ascii="Lato Regular" w:eastAsia="Times New Roman" w:hAnsi="Lato Regular" w:cs="Times New Roman"/>
                <w:color w:val="000000"/>
                <w:sz w:val="20"/>
                <w:szCs w:val="20"/>
              </w:rPr>
            </w:pPr>
            <w:proofErr w:type="spellStart"/>
            <w:r w:rsidRPr="00BC456A">
              <w:rPr>
                <w:rFonts w:ascii="Lato Regular" w:eastAsia="Times New Roman" w:hAnsi="Lato Regular" w:cs="Times New Roman"/>
                <w:color w:val="000000"/>
                <w:sz w:val="20"/>
                <w:szCs w:val="20"/>
              </w:rPr>
              <w:t>MB1.2</w:t>
            </w:r>
            <w:proofErr w:type="spellEnd"/>
          </w:p>
        </w:tc>
        <w:tc>
          <w:tcPr>
            <w:tcW w:w="3177" w:type="pct"/>
            <w:shd w:val="clear" w:color="auto" w:fill="auto"/>
            <w:vAlign w:val="center"/>
          </w:tcPr>
          <w:p w14:paraId="1DE98EBB"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r w:rsidRPr="00BC456A">
              <w:rPr>
                <w:rFonts w:ascii="Lato Regular" w:eastAsia="Times New Roman" w:hAnsi="Lato Regular" w:cs="Times New Roman"/>
                <w:color w:val="000000"/>
                <w:sz w:val="20"/>
                <w:szCs w:val="20"/>
              </w:rPr>
              <w:t>Improved quality, usefulness and impact of the research reported by stakeholders (e.g., advocates, policymakers, etc.)</w:t>
            </w:r>
          </w:p>
        </w:tc>
      </w:tr>
      <w:tr w:rsidR="005A1C0A" w:rsidRPr="00BC456A" w14:paraId="4907F678" w14:textId="77777777" w:rsidTr="00445A3E">
        <w:trPr>
          <w:trHeight w:val="20"/>
        </w:trPr>
        <w:tc>
          <w:tcPr>
            <w:tcW w:w="1488" w:type="pct"/>
            <w:vMerge w:val="restart"/>
            <w:shd w:val="clear" w:color="auto" w:fill="auto"/>
            <w:vAlign w:val="center"/>
            <w:hideMark/>
          </w:tcPr>
          <w:p w14:paraId="65A1C69E"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proofErr w:type="spellStart"/>
            <w:r w:rsidRPr="00BC456A">
              <w:rPr>
                <w:rFonts w:ascii="Lato Regular" w:eastAsia="Times New Roman" w:hAnsi="Lato Regular" w:cs="Times New Roman"/>
                <w:color w:val="000000"/>
                <w:sz w:val="20"/>
                <w:szCs w:val="20"/>
              </w:rPr>
              <w:t>MB2</w:t>
            </w:r>
            <w:proofErr w:type="spellEnd"/>
            <w:r w:rsidRPr="00BC456A">
              <w:rPr>
                <w:rFonts w:ascii="Lato Regular" w:eastAsia="Times New Roman" w:hAnsi="Lato Regular" w:cs="Times New Roman"/>
                <w:color w:val="000000"/>
                <w:sz w:val="20"/>
                <w:szCs w:val="20"/>
              </w:rPr>
              <w:t xml:space="preserve">. Increased participation and leadership of marginalised groups in </w:t>
            </w:r>
            <w:proofErr w:type="spellStart"/>
            <w:r w:rsidRPr="00BC456A">
              <w:rPr>
                <w:rFonts w:ascii="Lato Regular" w:eastAsia="Times New Roman" w:hAnsi="Lato Regular" w:cs="Times New Roman"/>
                <w:color w:val="000000"/>
                <w:sz w:val="20"/>
                <w:szCs w:val="20"/>
              </w:rPr>
              <w:t>CSOs</w:t>
            </w:r>
            <w:proofErr w:type="spellEnd"/>
          </w:p>
        </w:tc>
        <w:tc>
          <w:tcPr>
            <w:tcW w:w="335" w:type="pct"/>
            <w:shd w:val="clear" w:color="auto" w:fill="auto"/>
            <w:vAlign w:val="center"/>
            <w:hideMark/>
          </w:tcPr>
          <w:p w14:paraId="0A4D8E1E" w14:textId="77777777" w:rsidR="005A1C0A" w:rsidRPr="00BC456A" w:rsidRDefault="005A1C0A" w:rsidP="00445A3E">
            <w:pPr>
              <w:spacing w:after="0" w:line="240" w:lineRule="auto"/>
              <w:contextualSpacing/>
              <w:jc w:val="center"/>
              <w:rPr>
                <w:rFonts w:ascii="Lato Regular" w:eastAsia="Times New Roman" w:hAnsi="Lato Regular" w:cs="Times New Roman"/>
                <w:color w:val="000000"/>
                <w:sz w:val="20"/>
                <w:szCs w:val="20"/>
              </w:rPr>
            </w:pPr>
            <w:proofErr w:type="spellStart"/>
            <w:r w:rsidRPr="00BC456A">
              <w:rPr>
                <w:rFonts w:ascii="Lato Regular" w:eastAsia="Times New Roman" w:hAnsi="Lato Regular" w:cs="Times New Roman"/>
                <w:color w:val="000000"/>
                <w:sz w:val="20"/>
                <w:szCs w:val="20"/>
              </w:rPr>
              <w:t>MB2.1</w:t>
            </w:r>
            <w:proofErr w:type="spellEnd"/>
          </w:p>
        </w:tc>
        <w:tc>
          <w:tcPr>
            <w:tcW w:w="3177" w:type="pct"/>
            <w:shd w:val="clear" w:color="auto" w:fill="auto"/>
            <w:vAlign w:val="center"/>
            <w:hideMark/>
          </w:tcPr>
          <w:p w14:paraId="5C51CBE5"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r w:rsidRPr="00BC456A">
              <w:rPr>
                <w:rFonts w:ascii="Lato Regular" w:eastAsia="Times New Roman" w:hAnsi="Lato Regular" w:cs="Times New Roman"/>
                <w:color w:val="000000"/>
                <w:sz w:val="20"/>
                <w:szCs w:val="20"/>
              </w:rPr>
              <w:t xml:space="preserve">% of </w:t>
            </w:r>
            <w:proofErr w:type="spellStart"/>
            <w:r w:rsidRPr="00BC456A">
              <w:rPr>
                <w:rFonts w:ascii="Lato Regular" w:eastAsia="Times New Roman" w:hAnsi="Lato Regular" w:cs="Times New Roman"/>
                <w:color w:val="000000"/>
                <w:sz w:val="20"/>
                <w:szCs w:val="20"/>
              </w:rPr>
              <w:t>CSOs</w:t>
            </w:r>
            <w:proofErr w:type="spellEnd"/>
            <w:r w:rsidRPr="00BC456A">
              <w:rPr>
                <w:rFonts w:ascii="Lato Regular" w:eastAsia="Times New Roman" w:hAnsi="Lato Regular" w:cs="Times New Roman"/>
                <w:color w:val="000000"/>
                <w:sz w:val="20"/>
                <w:szCs w:val="20"/>
              </w:rPr>
              <w:t xml:space="preserve"> participating in meetings supported by AmplifyChange represent marginalised groups</w:t>
            </w:r>
          </w:p>
        </w:tc>
      </w:tr>
      <w:tr w:rsidR="005A1C0A" w:rsidRPr="00BC456A" w14:paraId="403F3E7C" w14:textId="77777777" w:rsidTr="00445A3E">
        <w:trPr>
          <w:trHeight w:val="20"/>
        </w:trPr>
        <w:tc>
          <w:tcPr>
            <w:tcW w:w="1488" w:type="pct"/>
            <w:vMerge/>
            <w:shd w:val="clear" w:color="auto" w:fill="auto"/>
            <w:vAlign w:val="center"/>
            <w:hideMark/>
          </w:tcPr>
          <w:p w14:paraId="5187311C"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p>
        </w:tc>
        <w:tc>
          <w:tcPr>
            <w:tcW w:w="335" w:type="pct"/>
            <w:shd w:val="clear" w:color="auto" w:fill="auto"/>
            <w:vAlign w:val="center"/>
            <w:hideMark/>
          </w:tcPr>
          <w:p w14:paraId="4A73DF01" w14:textId="77777777" w:rsidR="005A1C0A" w:rsidRPr="00BC456A" w:rsidRDefault="005A1C0A" w:rsidP="00445A3E">
            <w:pPr>
              <w:spacing w:after="0" w:line="240" w:lineRule="auto"/>
              <w:contextualSpacing/>
              <w:jc w:val="center"/>
              <w:rPr>
                <w:rFonts w:ascii="Lato Regular" w:eastAsia="Times New Roman" w:hAnsi="Lato Regular" w:cs="Times New Roman"/>
                <w:color w:val="000000"/>
                <w:sz w:val="20"/>
                <w:szCs w:val="20"/>
              </w:rPr>
            </w:pPr>
            <w:proofErr w:type="spellStart"/>
            <w:r w:rsidRPr="00BC456A">
              <w:rPr>
                <w:rFonts w:ascii="Lato Regular" w:eastAsia="Times New Roman" w:hAnsi="Lato Regular" w:cs="Times New Roman"/>
                <w:color w:val="000000"/>
                <w:sz w:val="20"/>
                <w:szCs w:val="20"/>
              </w:rPr>
              <w:t>MB2.2</w:t>
            </w:r>
            <w:proofErr w:type="spellEnd"/>
          </w:p>
        </w:tc>
        <w:tc>
          <w:tcPr>
            <w:tcW w:w="3177" w:type="pct"/>
            <w:shd w:val="clear" w:color="auto" w:fill="auto"/>
            <w:vAlign w:val="center"/>
            <w:hideMark/>
          </w:tcPr>
          <w:p w14:paraId="5A3F0F6A"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r w:rsidRPr="00BC456A">
              <w:rPr>
                <w:rFonts w:ascii="Lato Regular" w:eastAsia="Times New Roman" w:hAnsi="Lato Regular" w:cs="Times New Roman"/>
                <w:color w:val="000000"/>
                <w:sz w:val="20"/>
                <w:szCs w:val="20"/>
              </w:rPr>
              <w:t>% of participants in meetings supported by AmplifyChange attending national or regional SRHR meetings for the first time</w:t>
            </w:r>
          </w:p>
        </w:tc>
      </w:tr>
      <w:tr w:rsidR="005A1C0A" w:rsidRPr="00BC456A" w14:paraId="2A80B5E6" w14:textId="77777777" w:rsidTr="00445A3E">
        <w:trPr>
          <w:trHeight w:val="20"/>
        </w:trPr>
        <w:tc>
          <w:tcPr>
            <w:tcW w:w="1488" w:type="pct"/>
            <w:vMerge/>
            <w:shd w:val="clear" w:color="auto" w:fill="auto"/>
            <w:vAlign w:val="center"/>
            <w:hideMark/>
          </w:tcPr>
          <w:p w14:paraId="554CE0E1"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p>
        </w:tc>
        <w:tc>
          <w:tcPr>
            <w:tcW w:w="335" w:type="pct"/>
            <w:shd w:val="clear" w:color="auto" w:fill="auto"/>
            <w:vAlign w:val="center"/>
            <w:hideMark/>
          </w:tcPr>
          <w:p w14:paraId="015BFCAC" w14:textId="77777777" w:rsidR="005A1C0A" w:rsidRPr="00BC456A" w:rsidRDefault="005A1C0A" w:rsidP="00445A3E">
            <w:pPr>
              <w:spacing w:after="0" w:line="240" w:lineRule="auto"/>
              <w:contextualSpacing/>
              <w:jc w:val="center"/>
              <w:rPr>
                <w:rFonts w:ascii="Lato Regular" w:eastAsia="Times New Roman" w:hAnsi="Lato Regular" w:cs="Times New Roman"/>
                <w:color w:val="000000"/>
                <w:sz w:val="20"/>
                <w:szCs w:val="20"/>
              </w:rPr>
            </w:pPr>
            <w:proofErr w:type="spellStart"/>
            <w:r w:rsidRPr="00BC456A">
              <w:rPr>
                <w:rFonts w:ascii="Lato Regular" w:eastAsia="Times New Roman" w:hAnsi="Lato Regular" w:cs="Times New Roman"/>
                <w:color w:val="000000"/>
                <w:sz w:val="20"/>
                <w:szCs w:val="20"/>
              </w:rPr>
              <w:t>MB2.3</w:t>
            </w:r>
            <w:proofErr w:type="spellEnd"/>
          </w:p>
        </w:tc>
        <w:tc>
          <w:tcPr>
            <w:tcW w:w="3177" w:type="pct"/>
            <w:shd w:val="clear" w:color="auto" w:fill="auto"/>
            <w:vAlign w:val="center"/>
            <w:hideMark/>
          </w:tcPr>
          <w:p w14:paraId="40F8F94C"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r w:rsidRPr="00BC456A">
              <w:rPr>
                <w:rFonts w:ascii="Lato Regular" w:eastAsia="Times New Roman" w:hAnsi="Lato Regular" w:cs="Times New Roman"/>
                <w:color w:val="000000"/>
                <w:sz w:val="20"/>
                <w:szCs w:val="20"/>
              </w:rPr>
              <w:t>% of network/coalition members representing marginalised peoples</w:t>
            </w:r>
          </w:p>
        </w:tc>
      </w:tr>
      <w:tr w:rsidR="005A1C0A" w:rsidRPr="00BC456A" w14:paraId="1494E5A9" w14:textId="77777777" w:rsidTr="00445A3E">
        <w:trPr>
          <w:trHeight w:val="20"/>
        </w:trPr>
        <w:tc>
          <w:tcPr>
            <w:tcW w:w="1488" w:type="pct"/>
            <w:vMerge/>
            <w:shd w:val="clear" w:color="auto" w:fill="auto"/>
            <w:vAlign w:val="center"/>
            <w:hideMark/>
          </w:tcPr>
          <w:p w14:paraId="26CEFCF7"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p>
        </w:tc>
        <w:tc>
          <w:tcPr>
            <w:tcW w:w="335" w:type="pct"/>
            <w:shd w:val="clear" w:color="auto" w:fill="auto"/>
            <w:vAlign w:val="center"/>
            <w:hideMark/>
          </w:tcPr>
          <w:p w14:paraId="6DCB6359" w14:textId="77777777" w:rsidR="005A1C0A" w:rsidRPr="00BC456A" w:rsidRDefault="005A1C0A" w:rsidP="00445A3E">
            <w:pPr>
              <w:spacing w:after="0" w:line="240" w:lineRule="auto"/>
              <w:contextualSpacing/>
              <w:jc w:val="center"/>
              <w:rPr>
                <w:rFonts w:ascii="Lato Regular" w:eastAsia="Times New Roman" w:hAnsi="Lato Regular" w:cs="Times New Roman"/>
                <w:color w:val="000000"/>
                <w:sz w:val="20"/>
                <w:szCs w:val="20"/>
              </w:rPr>
            </w:pPr>
            <w:proofErr w:type="spellStart"/>
            <w:r w:rsidRPr="00BC456A">
              <w:rPr>
                <w:rFonts w:ascii="Lato Regular" w:eastAsia="Times New Roman" w:hAnsi="Lato Regular" w:cs="Times New Roman"/>
                <w:color w:val="000000"/>
                <w:sz w:val="20"/>
                <w:szCs w:val="20"/>
              </w:rPr>
              <w:t>MB2.4</w:t>
            </w:r>
            <w:proofErr w:type="spellEnd"/>
          </w:p>
        </w:tc>
        <w:tc>
          <w:tcPr>
            <w:tcW w:w="3177" w:type="pct"/>
            <w:shd w:val="clear" w:color="auto" w:fill="auto"/>
            <w:vAlign w:val="center"/>
            <w:hideMark/>
          </w:tcPr>
          <w:p w14:paraId="2EAF4272"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r w:rsidRPr="00BC456A">
              <w:rPr>
                <w:rFonts w:ascii="Lato Regular" w:eastAsia="Times New Roman" w:hAnsi="Lato Regular" w:cs="Times New Roman"/>
                <w:color w:val="000000"/>
                <w:sz w:val="20"/>
                <w:szCs w:val="20"/>
              </w:rPr>
              <w:t>% of leadership roles in network and coalitions held by members of marginalised groups</w:t>
            </w:r>
          </w:p>
        </w:tc>
      </w:tr>
      <w:tr w:rsidR="005A1C0A" w:rsidRPr="009C0EA1" w14:paraId="7A37820D" w14:textId="77777777" w:rsidTr="00445A3E">
        <w:trPr>
          <w:trHeight w:val="20"/>
        </w:trPr>
        <w:tc>
          <w:tcPr>
            <w:tcW w:w="1488" w:type="pct"/>
            <w:shd w:val="clear" w:color="auto" w:fill="auto"/>
            <w:vAlign w:val="center"/>
          </w:tcPr>
          <w:p w14:paraId="2F3B3A7E"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proofErr w:type="spellStart"/>
            <w:r w:rsidRPr="00BC456A">
              <w:rPr>
                <w:rFonts w:ascii="Lato Regular" w:eastAsia="Times New Roman" w:hAnsi="Lato Regular" w:cs="Times New Roman"/>
                <w:color w:val="000000"/>
                <w:sz w:val="20"/>
                <w:szCs w:val="20"/>
              </w:rPr>
              <w:t>MB3</w:t>
            </w:r>
            <w:proofErr w:type="spellEnd"/>
            <w:r w:rsidRPr="00BC456A">
              <w:rPr>
                <w:rFonts w:ascii="Lato Regular" w:eastAsia="Times New Roman" w:hAnsi="Lato Regular" w:cs="Times New Roman"/>
                <w:color w:val="000000"/>
                <w:sz w:val="20"/>
                <w:szCs w:val="20"/>
              </w:rPr>
              <w:t xml:space="preserve">. Strengthened capacity of </w:t>
            </w:r>
            <w:proofErr w:type="spellStart"/>
            <w:r w:rsidRPr="00BC456A">
              <w:rPr>
                <w:rFonts w:ascii="Lato Regular" w:eastAsia="Times New Roman" w:hAnsi="Lato Regular" w:cs="Times New Roman"/>
                <w:color w:val="000000"/>
                <w:sz w:val="20"/>
                <w:szCs w:val="20"/>
              </w:rPr>
              <w:t>CSOs</w:t>
            </w:r>
            <w:proofErr w:type="spellEnd"/>
            <w:r w:rsidRPr="00BC456A">
              <w:rPr>
                <w:rFonts w:ascii="Lato Regular" w:eastAsia="Times New Roman" w:hAnsi="Lato Regular" w:cs="Times New Roman"/>
                <w:color w:val="000000"/>
                <w:sz w:val="20"/>
                <w:szCs w:val="20"/>
              </w:rPr>
              <w:t xml:space="preserve"> to advocate for SRHR</w:t>
            </w:r>
          </w:p>
        </w:tc>
        <w:tc>
          <w:tcPr>
            <w:tcW w:w="335" w:type="pct"/>
            <w:shd w:val="clear" w:color="auto" w:fill="auto"/>
            <w:vAlign w:val="center"/>
          </w:tcPr>
          <w:p w14:paraId="0E3FD329" w14:textId="77777777" w:rsidR="005A1C0A" w:rsidRPr="00BC456A" w:rsidRDefault="005A1C0A" w:rsidP="00445A3E">
            <w:pPr>
              <w:spacing w:after="0" w:line="240" w:lineRule="auto"/>
              <w:contextualSpacing/>
              <w:jc w:val="center"/>
              <w:rPr>
                <w:rFonts w:ascii="Lato Regular" w:eastAsia="Times New Roman" w:hAnsi="Lato Regular" w:cs="Times New Roman"/>
                <w:color w:val="000000"/>
                <w:sz w:val="20"/>
                <w:szCs w:val="20"/>
              </w:rPr>
            </w:pPr>
            <w:proofErr w:type="spellStart"/>
            <w:r w:rsidRPr="00BC456A">
              <w:rPr>
                <w:rFonts w:ascii="Lato Regular" w:eastAsia="Times New Roman" w:hAnsi="Lato Regular" w:cs="Times New Roman"/>
                <w:color w:val="000000"/>
                <w:sz w:val="20"/>
                <w:szCs w:val="20"/>
              </w:rPr>
              <w:t>MB3.1</w:t>
            </w:r>
            <w:proofErr w:type="spellEnd"/>
          </w:p>
        </w:tc>
        <w:tc>
          <w:tcPr>
            <w:tcW w:w="3177" w:type="pct"/>
            <w:shd w:val="clear" w:color="auto" w:fill="auto"/>
            <w:vAlign w:val="center"/>
          </w:tcPr>
          <w:p w14:paraId="41948823" w14:textId="77777777" w:rsidR="005A1C0A" w:rsidRPr="009C0EA1" w:rsidRDefault="005A1C0A" w:rsidP="00445A3E">
            <w:pPr>
              <w:spacing w:after="0" w:line="240" w:lineRule="auto"/>
              <w:contextualSpacing/>
              <w:rPr>
                <w:rFonts w:ascii="Lato Regular" w:eastAsia="Times New Roman" w:hAnsi="Lato Regular" w:cs="Times New Roman"/>
                <w:color w:val="000000"/>
                <w:sz w:val="20"/>
                <w:szCs w:val="20"/>
              </w:rPr>
            </w:pPr>
            <w:r w:rsidRPr="00D362E3">
              <w:rPr>
                <w:rFonts w:ascii="Lato Regular" w:eastAsia="Times New Roman" w:hAnsi="Lato Regular" w:cs="Times New Roman"/>
                <w:color w:val="000000"/>
                <w:sz w:val="20"/>
                <w:szCs w:val="20"/>
                <w:highlight w:val="yellow"/>
              </w:rPr>
              <w:t>AmplifyChange grantee needing capacity building support developed, implemented and achieved organisational capacity-building plans</w:t>
            </w:r>
          </w:p>
        </w:tc>
      </w:tr>
      <w:tr w:rsidR="005A1C0A" w:rsidRPr="00BC456A" w14:paraId="463B0BCA" w14:textId="77777777" w:rsidTr="00445A3E">
        <w:trPr>
          <w:trHeight w:val="20"/>
        </w:trPr>
        <w:tc>
          <w:tcPr>
            <w:tcW w:w="1488" w:type="pct"/>
            <w:shd w:val="clear" w:color="auto" w:fill="auto"/>
            <w:vAlign w:val="center"/>
            <w:hideMark/>
          </w:tcPr>
          <w:p w14:paraId="3E8516AC"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proofErr w:type="spellStart"/>
            <w:r w:rsidRPr="00BC456A">
              <w:rPr>
                <w:rFonts w:ascii="Lato Regular" w:eastAsia="Times New Roman" w:hAnsi="Lato Regular" w:cs="Times New Roman"/>
                <w:color w:val="000000"/>
                <w:sz w:val="20"/>
                <w:szCs w:val="20"/>
              </w:rPr>
              <w:t>MB4</w:t>
            </w:r>
            <w:proofErr w:type="spellEnd"/>
            <w:r w:rsidRPr="00BC456A">
              <w:rPr>
                <w:rFonts w:ascii="Lato Regular" w:eastAsia="Times New Roman" w:hAnsi="Lato Regular" w:cs="Times New Roman"/>
                <w:color w:val="000000"/>
                <w:sz w:val="20"/>
                <w:szCs w:val="20"/>
              </w:rPr>
              <w:t xml:space="preserve">. Strengthened collaboration among </w:t>
            </w:r>
            <w:proofErr w:type="spellStart"/>
            <w:r w:rsidRPr="00BC456A">
              <w:rPr>
                <w:rFonts w:ascii="Lato Regular" w:eastAsia="Times New Roman" w:hAnsi="Lato Regular" w:cs="Times New Roman"/>
                <w:color w:val="000000"/>
                <w:sz w:val="20"/>
                <w:szCs w:val="20"/>
              </w:rPr>
              <w:t>CSOs</w:t>
            </w:r>
            <w:proofErr w:type="spellEnd"/>
          </w:p>
        </w:tc>
        <w:tc>
          <w:tcPr>
            <w:tcW w:w="335" w:type="pct"/>
            <w:shd w:val="clear" w:color="auto" w:fill="auto"/>
            <w:vAlign w:val="center"/>
            <w:hideMark/>
          </w:tcPr>
          <w:p w14:paraId="12C39855" w14:textId="77777777" w:rsidR="005A1C0A" w:rsidRPr="00BC456A" w:rsidRDefault="005A1C0A" w:rsidP="00445A3E">
            <w:pPr>
              <w:spacing w:after="0" w:line="240" w:lineRule="auto"/>
              <w:contextualSpacing/>
              <w:jc w:val="center"/>
              <w:rPr>
                <w:rFonts w:ascii="Lato Regular" w:eastAsia="Times New Roman" w:hAnsi="Lato Regular" w:cs="Times New Roman"/>
                <w:color w:val="000000"/>
                <w:sz w:val="20"/>
                <w:szCs w:val="20"/>
              </w:rPr>
            </w:pPr>
            <w:proofErr w:type="spellStart"/>
            <w:r w:rsidRPr="00BC456A">
              <w:rPr>
                <w:rFonts w:ascii="Lato Regular" w:eastAsia="Times New Roman" w:hAnsi="Lato Regular" w:cs="Times New Roman"/>
                <w:color w:val="000000"/>
                <w:sz w:val="20"/>
                <w:szCs w:val="20"/>
              </w:rPr>
              <w:t>MB4.1</w:t>
            </w:r>
            <w:proofErr w:type="spellEnd"/>
          </w:p>
        </w:tc>
        <w:tc>
          <w:tcPr>
            <w:tcW w:w="3177" w:type="pct"/>
            <w:shd w:val="clear" w:color="auto" w:fill="auto"/>
            <w:vAlign w:val="center"/>
            <w:hideMark/>
          </w:tcPr>
          <w:p w14:paraId="74B7B22B" w14:textId="77777777" w:rsidR="005A1C0A" w:rsidRPr="00BC456A" w:rsidRDefault="005A1C0A" w:rsidP="00445A3E">
            <w:pPr>
              <w:spacing w:after="0"/>
              <w:rPr>
                <w:rFonts w:ascii="Lato Regular" w:eastAsia="Times New Roman" w:hAnsi="Lato Regular"/>
                <w:sz w:val="20"/>
                <w:szCs w:val="20"/>
              </w:rPr>
            </w:pPr>
            <w:r w:rsidRPr="00BC456A">
              <w:rPr>
                <w:rFonts w:ascii="Lato Regular" w:eastAsia="Times New Roman" w:hAnsi="Lato Regular"/>
                <w:sz w:val="20"/>
                <w:szCs w:val="20"/>
              </w:rPr>
              <w:t xml:space="preserve">New joint advocacy campaigns planned and implemented </w:t>
            </w:r>
            <w:r>
              <w:rPr>
                <w:rFonts w:ascii="Lato Regular" w:eastAsia="Times New Roman" w:hAnsi="Lato Regular"/>
                <w:sz w:val="20"/>
                <w:szCs w:val="20"/>
              </w:rPr>
              <w:t xml:space="preserve">with other </w:t>
            </w:r>
            <w:proofErr w:type="spellStart"/>
            <w:r>
              <w:rPr>
                <w:rFonts w:ascii="Lato Regular" w:eastAsia="Times New Roman" w:hAnsi="Lato Regular"/>
                <w:sz w:val="20"/>
                <w:szCs w:val="20"/>
              </w:rPr>
              <w:t>CSOs</w:t>
            </w:r>
            <w:proofErr w:type="spellEnd"/>
          </w:p>
        </w:tc>
      </w:tr>
      <w:tr w:rsidR="005A1C0A" w:rsidRPr="00BC456A" w14:paraId="63803232" w14:textId="77777777" w:rsidTr="00445A3E">
        <w:trPr>
          <w:trHeight w:val="264"/>
        </w:trPr>
        <w:tc>
          <w:tcPr>
            <w:tcW w:w="1488" w:type="pct"/>
            <w:vMerge w:val="restart"/>
            <w:shd w:val="clear" w:color="auto" w:fill="auto"/>
            <w:vAlign w:val="center"/>
            <w:hideMark/>
          </w:tcPr>
          <w:p w14:paraId="62401B13"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proofErr w:type="spellStart"/>
            <w:r w:rsidRPr="00BC456A">
              <w:rPr>
                <w:rFonts w:ascii="Lato Regular" w:eastAsia="Times New Roman" w:hAnsi="Lato Regular" w:cs="Times New Roman"/>
                <w:color w:val="000000"/>
                <w:sz w:val="20"/>
                <w:szCs w:val="20"/>
              </w:rPr>
              <w:t>MB5</w:t>
            </w:r>
            <w:proofErr w:type="spellEnd"/>
            <w:r w:rsidRPr="00BC456A">
              <w:rPr>
                <w:rFonts w:ascii="Lato Regular" w:eastAsia="Times New Roman" w:hAnsi="Lato Regular" w:cs="Times New Roman"/>
                <w:color w:val="000000"/>
                <w:sz w:val="20"/>
                <w:szCs w:val="20"/>
              </w:rPr>
              <w:t>. Increased engagement of potential allies across sectors and movements</w:t>
            </w:r>
          </w:p>
        </w:tc>
        <w:tc>
          <w:tcPr>
            <w:tcW w:w="335" w:type="pct"/>
            <w:vMerge w:val="restart"/>
            <w:shd w:val="clear" w:color="auto" w:fill="auto"/>
            <w:vAlign w:val="center"/>
            <w:hideMark/>
          </w:tcPr>
          <w:p w14:paraId="505B87CF" w14:textId="77777777" w:rsidR="005A1C0A" w:rsidRPr="00BC456A" w:rsidRDefault="005A1C0A" w:rsidP="00445A3E">
            <w:pPr>
              <w:spacing w:after="0" w:line="240" w:lineRule="auto"/>
              <w:contextualSpacing/>
              <w:jc w:val="center"/>
              <w:rPr>
                <w:rFonts w:ascii="Lato Regular" w:eastAsia="Times New Roman" w:hAnsi="Lato Regular" w:cs="Times New Roman"/>
                <w:color w:val="000000"/>
                <w:sz w:val="20"/>
                <w:szCs w:val="20"/>
              </w:rPr>
            </w:pPr>
            <w:proofErr w:type="spellStart"/>
            <w:r w:rsidRPr="00BC456A">
              <w:rPr>
                <w:rFonts w:ascii="Lato Regular" w:eastAsia="Times New Roman" w:hAnsi="Lato Regular" w:cs="Times New Roman"/>
                <w:color w:val="000000"/>
                <w:sz w:val="20"/>
                <w:szCs w:val="20"/>
              </w:rPr>
              <w:t>MB5.1</w:t>
            </w:r>
            <w:proofErr w:type="spellEnd"/>
          </w:p>
        </w:tc>
        <w:tc>
          <w:tcPr>
            <w:tcW w:w="3177" w:type="pct"/>
            <w:vMerge w:val="restart"/>
            <w:shd w:val="clear" w:color="auto" w:fill="auto"/>
            <w:vAlign w:val="center"/>
            <w:hideMark/>
          </w:tcPr>
          <w:p w14:paraId="6275FD38" w14:textId="77777777" w:rsidR="005A1C0A" w:rsidRPr="00BC456A" w:rsidRDefault="005A1C0A" w:rsidP="00445A3E">
            <w:pPr>
              <w:spacing w:after="0"/>
              <w:rPr>
                <w:rFonts w:ascii="Lato Regular" w:eastAsia="Times New Roman" w:hAnsi="Lato Regular"/>
                <w:sz w:val="20"/>
                <w:szCs w:val="20"/>
              </w:rPr>
            </w:pPr>
            <w:r w:rsidRPr="00BC456A">
              <w:rPr>
                <w:rFonts w:ascii="Lato Regular" w:eastAsia="Times New Roman" w:hAnsi="Lato Regular"/>
                <w:sz w:val="20"/>
                <w:szCs w:val="20"/>
                <w:highlight w:val="yellow"/>
              </w:rPr>
              <w:t>More inclusive networks, with partnerships established with non-traditional SRHR allies (including: religious leaders, faith movements, youth groups, social justice / budget tracking / research / media organisations that don’t traditionally work in SRHR)</w:t>
            </w:r>
          </w:p>
        </w:tc>
      </w:tr>
      <w:tr w:rsidR="005A1C0A" w:rsidRPr="00BC456A" w14:paraId="1F73E050" w14:textId="77777777" w:rsidTr="00445A3E">
        <w:trPr>
          <w:trHeight w:val="450"/>
        </w:trPr>
        <w:tc>
          <w:tcPr>
            <w:tcW w:w="1488" w:type="pct"/>
            <w:vMerge/>
            <w:shd w:val="clear" w:color="auto" w:fill="auto"/>
            <w:vAlign w:val="center"/>
            <w:hideMark/>
          </w:tcPr>
          <w:p w14:paraId="481294BC"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p>
        </w:tc>
        <w:tc>
          <w:tcPr>
            <w:tcW w:w="335" w:type="pct"/>
            <w:vMerge/>
            <w:shd w:val="clear" w:color="auto" w:fill="auto"/>
            <w:vAlign w:val="center"/>
            <w:hideMark/>
          </w:tcPr>
          <w:p w14:paraId="0BE0D1B5"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p>
        </w:tc>
        <w:tc>
          <w:tcPr>
            <w:tcW w:w="3177" w:type="pct"/>
            <w:vMerge/>
            <w:shd w:val="clear" w:color="auto" w:fill="auto"/>
            <w:vAlign w:val="center"/>
            <w:hideMark/>
          </w:tcPr>
          <w:p w14:paraId="4AD9C553"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p>
        </w:tc>
      </w:tr>
      <w:tr w:rsidR="005A1C0A" w:rsidRPr="00BC456A" w14:paraId="70620556" w14:textId="77777777" w:rsidTr="00445A3E">
        <w:trPr>
          <w:trHeight w:val="20"/>
        </w:trPr>
        <w:tc>
          <w:tcPr>
            <w:tcW w:w="1488" w:type="pct"/>
            <w:shd w:val="clear" w:color="auto" w:fill="auto"/>
            <w:vAlign w:val="center"/>
            <w:hideMark/>
          </w:tcPr>
          <w:p w14:paraId="3B712AC4" w14:textId="77777777" w:rsidR="005A1C0A" w:rsidRPr="00BC456A" w:rsidRDefault="005A1C0A" w:rsidP="00445A3E">
            <w:pPr>
              <w:spacing w:after="0" w:line="240" w:lineRule="auto"/>
              <w:contextualSpacing/>
              <w:rPr>
                <w:rFonts w:ascii="Lato Regular" w:eastAsia="Times New Roman" w:hAnsi="Lato Regular" w:cs="Times New Roman"/>
                <w:color w:val="000000"/>
                <w:sz w:val="20"/>
                <w:szCs w:val="20"/>
              </w:rPr>
            </w:pPr>
            <w:proofErr w:type="spellStart"/>
            <w:r w:rsidRPr="00BC456A">
              <w:rPr>
                <w:rFonts w:ascii="Lato Regular" w:eastAsia="Times New Roman" w:hAnsi="Lato Regular" w:cs="Times New Roman"/>
                <w:color w:val="000000"/>
                <w:sz w:val="20"/>
                <w:szCs w:val="20"/>
              </w:rPr>
              <w:t>MB6</w:t>
            </w:r>
            <w:proofErr w:type="spellEnd"/>
            <w:r w:rsidRPr="00BC456A">
              <w:rPr>
                <w:rFonts w:ascii="Lato Regular" w:eastAsia="Times New Roman" w:hAnsi="Lato Regular" w:cs="Times New Roman"/>
                <w:color w:val="000000"/>
                <w:sz w:val="20"/>
                <w:szCs w:val="20"/>
              </w:rPr>
              <w:t>. Locally developed new ideas implemented, lessons learned shared</w:t>
            </w:r>
          </w:p>
        </w:tc>
        <w:tc>
          <w:tcPr>
            <w:tcW w:w="335" w:type="pct"/>
            <w:shd w:val="clear" w:color="auto" w:fill="auto"/>
            <w:vAlign w:val="center"/>
            <w:hideMark/>
          </w:tcPr>
          <w:p w14:paraId="7F826289" w14:textId="77777777" w:rsidR="005A1C0A" w:rsidRPr="00BC456A" w:rsidRDefault="005A1C0A" w:rsidP="00445A3E">
            <w:pPr>
              <w:spacing w:after="0" w:line="240" w:lineRule="auto"/>
              <w:contextualSpacing/>
              <w:jc w:val="center"/>
              <w:rPr>
                <w:rFonts w:ascii="Lato Regular" w:eastAsia="Times New Roman" w:hAnsi="Lato Regular" w:cs="Times New Roman"/>
                <w:color w:val="000000"/>
                <w:sz w:val="20"/>
                <w:szCs w:val="20"/>
              </w:rPr>
            </w:pPr>
            <w:proofErr w:type="spellStart"/>
            <w:r w:rsidRPr="00BC456A">
              <w:rPr>
                <w:rFonts w:ascii="Lato Regular" w:eastAsia="Times New Roman" w:hAnsi="Lato Regular" w:cs="Times New Roman"/>
                <w:color w:val="000000"/>
                <w:sz w:val="20"/>
                <w:szCs w:val="20"/>
              </w:rPr>
              <w:t>MB6.1</w:t>
            </w:r>
            <w:proofErr w:type="spellEnd"/>
          </w:p>
        </w:tc>
        <w:tc>
          <w:tcPr>
            <w:tcW w:w="3177" w:type="pct"/>
            <w:shd w:val="clear" w:color="auto" w:fill="auto"/>
            <w:vAlign w:val="center"/>
            <w:hideMark/>
          </w:tcPr>
          <w:p w14:paraId="480B30F5" w14:textId="77777777" w:rsidR="005A1C0A" w:rsidRPr="00BC456A" w:rsidRDefault="005A1C0A" w:rsidP="00445A3E">
            <w:pPr>
              <w:spacing w:after="0"/>
              <w:rPr>
                <w:rFonts w:ascii="Lato Regular" w:hAnsi="Lato Regular"/>
                <w:sz w:val="20"/>
                <w:szCs w:val="20"/>
              </w:rPr>
            </w:pPr>
            <w:r w:rsidRPr="00BC456A">
              <w:rPr>
                <w:rFonts w:ascii="Lato Regular" w:hAnsi="Lato Regular"/>
                <w:sz w:val="20"/>
                <w:szCs w:val="20"/>
                <w:highlight w:val="yellow"/>
              </w:rPr>
              <w:t>Lessons learnt from grantees gathered and shared by AmplifyChange, and used by grantees and AmplifyChange to adapt activities</w:t>
            </w:r>
          </w:p>
        </w:tc>
      </w:tr>
    </w:tbl>
    <w:p w14:paraId="7B73A861" w14:textId="77777777" w:rsidR="005A1C0A" w:rsidRDefault="005A1C0A" w:rsidP="005A1C0A">
      <w:pPr>
        <w:rPr>
          <w:rFonts w:ascii="Lato Regular" w:hAnsi="Lato Regular"/>
          <w:sz w:val="20"/>
          <w:szCs w:val="20"/>
        </w:rPr>
      </w:pPr>
    </w:p>
    <w:p w14:paraId="1F0F800F" w14:textId="77777777" w:rsidR="005A1C0A" w:rsidRDefault="005A1C0A" w:rsidP="005A1C0A">
      <w:pPr>
        <w:spacing w:after="0" w:line="240" w:lineRule="auto"/>
        <w:rPr>
          <w:rFonts w:ascii="Lato Regular" w:hAnsi="Lato Regular"/>
          <w:sz w:val="20"/>
          <w:szCs w:val="20"/>
        </w:rPr>
      </w:pPr>
      <w:r>
        <w:rPr>
          <w:rFonts w:ascii="Lato Regular" w:hAnsi="Lato Regular"/>
          <w:sz w:val="20"/>
          <w:szCs w:val="20"/>
        </w:rPr>
        <w:br w:type="page"/>
      </w:r>
    </w:p>
    <w:tbl>
      <w:tblPr>
        <w:tblW w:w="5225" w:type="pct"/>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67"/>
        <w:gridCol w:w="859"/>
        <w:gridCol w:w="9986"/>
      </w:tblGrid>
      <w:tr w:rsidR="005A1C0A" w:rsidRPr="004E7354" w14:paraId="7FF014D4" w14:textId="77777777" w:rsidTr="00445A3E">
        <w:trPr>
          <w:trHeight w:val="20"/>
        </w:trPr>
        <w:tc>
          <w:tcPr>
            <w:tcW w:w="5000" w:type="pct"/>
            <w:gridSpan w:val="3"/>
            <w:shd w:val="clear" w:color="auto" w:fill="000000"/>
            <w:vAlign w:val="center"/>
          </w:tcPr>
          <w:p w14:paraId="30B08BCD" w14:textId="77777777" w:rsidR="005A1C0A" w:rsidRPr="004E7354" w:rsidRDefault="005A1C0A" w:rsidP="00445A3E">
            <w:pPr>
              <w:spacing w:after="0" w:line="240" w:lineRule="auto"/>
              <w:rPr>
                <w:rFonts w:ascii="Lato Regular" w:hAnsi="Lato Regular"/>
                <w:b/>
                <w:color w:val="FFFFFF" w:themeColor="background1"/>
                <w:sz w:val="20"/>
                <w:szCs w:val="20"/>
              </w:rPr>
            </w:pPr>
            <w:r w:rsidRPr="004E7354">
              <w:rPr>
                <w:rFonts w:ascii="Lato Regular" w:hAnsi="Lato Regular"/>
                <w:b/>
                <w:color w:val="FFFFFF" w:themeColor="background1"/>
                <w:sz w:val="20"/>
                <w:szCs w:val="20"/>
              </w:rPr>
              <w:lastRenderedPageBreak/>
              <w:t>OUTCOME</w:t>
            </w:r>
            <w:r>
              <w:rPr>
                <w:rFonts w:ascii="Lato Regular" w:hAnsi="Lato Regular"/>
                <w:b/>
                <w:color w:val="FFFFFF" w:themeColor="background1"/>
                <w:sz w:val="20"/>
                <w:szCs w:val="20"/>
              </w:rPr>
              <w:t xml:space="preserve"> 2</w:t>
            </w:r>
            <w:r w:rsidRPr="004E7354">
              <w:rPr>
                <w:rFonts w:ascii="Lato Regular" w:hAnsi="Lato Regular"/>
                <w:b/>
                <w:color w:val="FFFFFF" w:themeColor="background1"/>
                <w:sz w:val="20"/>
                <w:szCs w:val="20"/>
              </w:rPr>
              <w:t xml:space="preserve">: </w:t>
            </w:r>
            <w:r w:rsidRPr="004E7354">
              <w:rPr>
                <w:rFonts w:ascii="Lato Regular" w:eastAsia="Times New Roman" w:hAnsi="Lato Regular" w:cs="Times New Roman"/>
                <w:b/>
                <w:color w:val="FFFFFF" w:themeColor="background1"/>
                <w:sz w:val="20"/>
                <w:szCs w:val="20"/>
              </w:rPr>
              <w:t>Change in policies and laws</w:t>
            </w:r>
            <w:r>
              <w:rPr>
                <w:rFonts w:ascii="Lato Regular" w:eastAsia="Times New Roman" w:hAnsi="Lato Regular" w:cs="Times New Roman"/>
                <w:b/>
                <w:color w:val="FFFFFF" w:themeColor="background1"/>
                <w:sz w:val="20"/>
                <w:szCs w:val="20"/>
              </w:rPr>
              <w:t xml:space="preserve"> (PL)</w:t>
            </w:r>
          </w:p>
        </w:tc>
      </w:tr>
      <w:tr w:rsidR="005A1C0A" w:rsidRPr="007B3741" w14:paraId="0359AB91" w14:textId="77777777" w:rsidTr="00445A3E">
        <w:trPr>
          <w:trHeight w:val="20"/>
        </w:trPr>
        <w:tc>
          <w:tcPr>
            <w:tcW w:w="1339" w:type="pct"/>
            <w:shd w:val="clear" w:color="auto" w:fill="auto"/>
            <w:vAlign w:val="center"/>
            <w:hideMark/>
          </w:tcPr>
          <w:p w14:paraId="385C15A8" w14:textId="77777777" w:rsidR="005A1C0A" w:rsidRPr="007B3741" w:rsidRDefault="005A1C0A" w:rsidP="00445A3E">
            <w:pPr>
              <w:spacing w:after="0" w:line="240" w:lineRule="auto"/>
              <w:rPr>
                <w:rFonts w:ascii="Lato Regular" w:eastAsia="Times New Roman" w:hAnsi="Lato Regular" w:cs="Times New Roman"/>
                <w:b/>
                <w:color w:val="4472C4" w:themeColor="accent5"/>
                <w:sz w:val="20"/>
                <w:szCs w:val="20"/>
              </w:rPr>
            </w:pPr>
            <w:r w:rsidRPr="007B3741">
              <w:rPr>
                <w:rFonts w:ascii="Lato Regular" w:eastAsia="Times New Roman" w:hAnsi="Lato Regular" w:cs="Times New Roman"/>
                <w:b/>
                <w:bCs/>
                <w:color w:val="000000" w:themeColor="text1"/>
                <w:sz w:val="20"/>
                <w:szCs w:val="20"/>
              </w:rPr>
              <w:t>OUTPUT</w:t>
            </w:r>
          </w:p>
        </w:tc>
        <w:tc>
          <w:tcPr>
            <w:tcW w:w="3661" w:type="pct"/>
            <w:gridSpan w:val="2"/>
            <w:shd w:val="clear" w:color="auto" w:fill="auto"/>
            <w:vAlign w:val="center"/>
            <w:hideMark/>
          </w:tcPr>
          <w:p w14:paraId="3FB7A59F" w14:textId="77777777" w:rsidR="005A1C0A" w:rsidRPr="007B3741" w:rsidRDefault="005A1C0A" w:rsidP="00445A3E">
            <w:pPr>
              <w:spacing w:after="0" w:line="240" w:lineRule="auto"/>
              <w:rPr>
                <w:rFonts w:ascii="Lato Regular" w:eastAsia="Times New Roman" w:hAnsi="Lato Regular" w:cs="Times New Roman"/>
                <w:b/>
                <w:sz w:val="20"/>
                <w:szCs w:val="20"/>
              </w:rPr>
            </w:pPr>
            <w:r w:rsidRPr="007B3741">
              <w:rPr>
                <w:rFonts w:ascii="Lato Regular" w:eastAsia="Times New Roman" w:hAnsi="Lato Regular" w:cs="Times New Roman"/>
                <w:b/>
                <w:sz w:val="20"/>
                <w:szCs w:val="20"/>
              </w:rPr>
              <w:t>INDICATOR</w:t>
            </w:r>
          </w:p>
        </w:tc>
      </w:tr>
      <w:tr w:rsidR="005A1C0A" w:rsidRPr="007B3741" w14:paraId="76404B55" w14:textId="77777777" w:rsidTr="00445A3E">
        <w:trPr>
          <w:trHeight w:val="20"/>
        </w:trPr>
        <w:tc>
          <w:tcPr>
            <w:tcW w:w="1339" w:type="pct"/>
            <w:shd w:val="clear" w:color="auto" w:fill="auto"/>
            <w:vAlign w:val="center"/>
          </w:tcPr>
          <w:p w14:paraId="2217953F" w14:textId="77777777" w:rsidR="005A1C0A" w:rsidRPr="007B3741" w:rsidRDefault="005A1C0A" w:rsidP="00445A3E">
            <w:pPr>
              <w:spacing w:after="0" w:line="240" w:lineRule="auto"/>
              <w:rPr>
                <w:rFonts w:ascii="Lato Regular" w:eastAsia="Times New Roman" w:hAnsi="Lato Regular" w:cs="Times New Roman"/>
                <w:sz w:val="20"/>
                <w:szCs w:val="20"/>
              </w:rPr>
            </w:pPr>
            <w:proofErr w:type="spellStart"/>
            <w:r>
              <w:rPr>
                <w:rFonts w:ascii="Lato Regular" w:eastAsia="Times New Roman" w:hAnsi="Lato Regular" w:cs="Times New Roman"/>
                <w:sz w:val="20"/>
                <w:szCs w:val="20"/>
              </w:rPr>
              <w:t>PL0</w:t>
            </w:r>
            <w:proofErr w:type="spellEnd"/>
            <w:r>
              <w:rPr>
                <w:rFonts w:ascii="Lato Regular" w:eastAsia="Times New Roman" w:hAnsi="Lato Regular" w:cs="Times New Roman"/>
                <w:sz w:val="20"/>
                <w:szCs w:val="20"/>
              </w:rPr>
              <w:t>. Rigorous advocacy planning</w:t>
            </w:r>
          </w:p>
        </w:tc>
        <w:tc>
          <w:tcPr>
            <w:tcW w:w="290" w:type="pct"/>
            <w:shd w:val="clear" w:color="auto" w:fill="auto"/>
            <w:vAlign w:val="center"/>
          </w:tcPr>
          <w:p w14:paraId="7DC554DF" w14:textId="77777777" w:rsidR="005A1C0A" w:rsidRPr="007B3741" w:rsidRDefault="005A1C0A" w:rsidP="00445A3E">
            <w:pPr>
              <w:spacing w:after="0" w:line="240" w:lineRule="auto"/>
              <w:jc w:val="center"/>
              <w:rPr>
                <w:rFonts w:ascii="Lato Regular" w:eastAsia="Times New Roman" w:hAnsi="Lato Regular" w:cs="Times New Roman"/>
                <w:sz w:val="20"/>
                <w:szCs w:val="20"/>
              </w:rPr>
            </w:pPr>
            <w:proofErr w:type="spellStart"/>
            <w:r w:rsidRPr="007B3741">
              <w:rPr>
                <w:rFonts w:ascii="Lato Regular" w:eastAsia="Times New Roman" w:hAnsi="Lato Regular" w:cs="Times New Roman"/>
                <w:sz w:val="20"/>
                <w:szCs w:val="20"/>
              </w:rPr>
              <w:t>PL0.1</w:t>
            </w:r>
            <w:proofErr w:type="spellEnd"/>
          </w:p>
        </w:tc>
        <w:tc>
          <w:tcPr>
            <w:tcW w:w="3371" w:type="pct"/>
            <w:shd w:val="clear" w:color="auto" w:fill="auto"/>
            <w:vAlign w:val="center"/>
          </w:tcPr>
          <w:p w14:paraId="1655D7B0" w14:textId="77777777" w:rsidR="005A1C0A" w:rsidRPr="007B3741" w:rsidRDefault="005A1C0A" w:rsidP="00445A3E">
            <w:pPr>
              <w:spacing w:after="0" w:line="240" w:lineRule="auto"/>
              <w:rPr>
                <w:rFonts w:ascii="Lato Regular" w:eastAsia="Times New Roman" w:hAnsi="Lato Regular"/>
                <w:sz w:val="20"/>
                <w:szCs w:val="20"/>
              </w:rPr>
            </w:pPr>
            <w:r>
              <w:rPr>
                <w:rFonts w:ascii="Lato Regular" w:eastAsia="Times New Roman" w:hAnsi="Lato Regular"/>
                <w:sz w:val="20"/>
                <w:szCs w:val="20"/>
                <w:highlight w:val="yellow"/>
              </w:rPr>
              <w:t>AmplifyChange grantee</w:t>
            </w:r>
            <w:r w:rsidRPr="007B3741">
              <w:rPr>
                <w:rFonts w:ascii="Lato Regular" w:eastAsia="Times New Roman" w:hAnsi="Lato Regular"/>
                <w:sz w:val="20"/>
                <w:szCs w:val="20"/>
                <w:highlight w:val="yellow"/>
              </w:rPr>
              <w:t xml:space="preserve"> undertak</w:t>
            </w:r>
            <w:r>
              <w:rPr>
                <w:rFonts w:ascii="Lato Regular" w:eastAsia="Times New Roman" w:hAnsi="Lato Regular"/>
                <w:sz w:val="20"/>
                <w:szCs w:val="20"/>
                <w:highlight w:val="yellow"/>
              </w:rPr>
              <w:t>es</w:t>
            </w:r>
            <w:r w:rsidRPr="007B3741">
              <w:rPr>
                <w:rFonts w:ascii="Lato Regular" w:eastAsia="Times New Roman" w:hAnsi="Lato Regular"/>
                <w:sz w:val="20"/>
                <w:szCs w:val="20"/>
                <w:highlight w:val="yellow"/>
              </w:rPr>
              <w:t xml:space="preserve"> rigorous advocacy planning (including policy mapping, audience analysis, decision-making pathways in order to struct</w:t>
            </w:r>
            <w:r>
              <w:rPr>
                <w:rFonts w:ascii="Lato Regular" w:eastAsia="Times New Roman" w:hAnsi="Lato Regular"/>
                <w:sz w:val="20"/>
                <w:szCs w:val="20"/>
                <w:highlight w:val="yellow"/>
              </w:rPr>
              <w:t>ure and target advocacy activiti</w:t>
            </w:r>
            <w:r w:rsidRPr="007B3741">
              <w:rPr>
                <w:rFonts w:ascii="Lato Regular" w:eastAsia="Times New Roman" w:hAnsi="Lato Regular"/>
                <w:sz w:val="20"/>
                <w:szCs w:val="20"/>
                <w:highlight w:val="yellow"/>
              </w:rPr>
              <w:t>es logically) for SRHR policy change</w:t>
            </w:r>
          </w:p>
        </w:tc>
      </w:tr>
      <w:tr w:rsidR="005A1C0A" w:rsidRPr="007B3741" w14:paraId="6E2B95AB" w14:textId="77777777" w:rsidTr="00445A3E">
        <w:trPr>
          <w:trHeight w:val="20"/>
        </w:trPr>
        <w:tc>
          <w:tcPr>
            <w:tcW w:w="1339" w:type="pct"/>
            <w:vMerge w:val="restart"/>
            <w:shd w:val="clear" w:color="auto" w:fill="auto"/>
            <w:vAlign w:val="center"/>
            <w:hideMark/>
          </w:tcPr>
          <w:p w14:paraId="1B96F843" w14:textId="77777777" w:rsidR="005A1C0A" w:rsidRPr="007B3741" w:rsidRDefault="005A1C0A" w:rsidP="00445A3E">
            <w:pPr>
              <w:spacing w:after="0" w:line="240" w:lineRule="auto"/>
              <w:rPr>
                <w:rFonts w:ascii="Lato Regular" w:eastAsia="Times New Roman" w:hAnsi="Lato Regular" w:cs="Times New Roman"/>
                <w:sz w:val="20"/>
                <w:szCs w:val="20"/>
              </w:rPr>
            </w:pPr>
            <w:proofErr w:type="spellStart"/>
            <w:r w:rsidRPr="007B3741">
              <w:rPr>
                <w:rFonts w:ascii="Lato Regular" w:eastAsia="Times New Roman" w:hAnsi="Lato Regular" w:cs="Times New Roman"/>
                <w:sz w:val="20"/>
                <w:szCs w:val="20"/>
              </w:rPr>
              <w:t>PL1</w:t>
            </w:r>
            <w:proofErr w:type="spellEnd"/>
            <w:r w:rsidRPr="007B3741">
              <w:rPr>
                <w:rFonts w:ascii="Lato Regular" w:eastAsia="Times New Roman" w:hAnsi="Lato Regular" w:cs="Times New Roman"/>
                <w:sz w:val="20"/>
                <w:szCs w:val="20"/>
              </w:rPr>
              <w:t xml:space="preserve">. Increased engagement and influence of </w:t>
            </w:r>
            <w:proofErr w:type="spellStart"/>
            <w:r w:rsidRPr="007B3741">
              <w:rPr>
                <w:rFonts w:ascii="Lato Regular" w:eastAsia="Times New Roman" w:hAnsi="Lato Regular" w:cs="Times New Roman"/>
                <w:sz w:val="20"/>
                <w:szCs w:val="20"/>
              </w:rPr>
              <w:t>CSOs</w:t>
            </w:r>
            <w:proofErr w:type="spellEnd"/>
            <w:r w:rsidRPr="007B3741">
              <w:rPr>
                <w:rFonts w:ascii="Lato Regular" w:eastAsia="Times New Roman" w:hAnsi="Lato Regular" w:cs="Times New Roman"/>
                <w:sz w:val="20"/>
                <w:szCs w:val="20"/>
              </w:rPr>
              <w:t xml:space="preserve"> on policy and budgetary process</w:t>
            </w:r>
          </w:p>
        </w:tc>
        <w:tc>
          <w:tcPr>
            <w:tcW w:w="290" w:type="pct"/>
            <w:shd w:val="clear" w:color="auto" w:fill="auto"/>
            <w:vAlign w:val="center"/>
            <w:hideMark/>
          </w:tcPr>
          <w:p w14:paraId="09BEE9E6" w14:textId="77777777" w:rsidR="005A1C0A" w:rsidRPr="007B3741" w:rsidRDefault="005A1C0A" w:rsidP="00445A3E">
            <w:pPr>
              <w:spacing w:after="0" w:line="240" w:lineRule="auto"/>
              <w:jc w:val="center"/>
              <w:rPr>
                <w:rFonts w:ascii="Lato Regular" w:eastAsia="Times New Roman" w:hAnsi="Lato Regular" w:cs="Times New Roman"/>
                <w:sz w:val="20"/>
                <w:szCs w:val="20"/>
              </w:rPr>
            </w:pPr>
            <w:proofErr w:type="spellStart"/>
            <w:r w:rsidRPr="007B3741">
              <w:rPr>
                <w:rFonts w:ascii="Lato Regular" w:eastAsia="Times New Roman" w:hAnsi="Lato Regular" w:cs="Times New Roman"/>
                <w:sz w:val="20"/>
                <w:szCs w:val="20"/>
              </w:rPr>
              <w:t>PL1.1</w:t>
            </w:r>
            <w:proofErr w:type="spellEnd"/>
          </w:p>
        </w:tc>
        <w:tc>
          <w:tcPr>
            <w:tcW w:w="3371" w:type="pct"/>
            <w:shd w:val="clear" w:color="auto" w:fill="auto"/>
            <w:vAlign w:val="center"/>
            <w:hideMark/>
          </w:tcPr>
          <w:p w14:paraId="7C1FE1EF" w14:textId="77777777" w:rsidR="005A1C0A" w:rsidRPr="007B3741" w:rsidRDefault="005A1C0A" w:rsidP="00445A3E">
            <w:pPr>
              <w:spacing w:after="0" w:line="240" w:lineRule="auto"/>
              <w:rPr>
                <w:rFonts w:ascii="Lato Regular" w:eastAsia="Times New Roman" w:hAnsi="Lato Regular" w:cs="Times New Roman"/>
                <w:sz w:val="20"/>
                <w:szCs w:val="20"/>
              </w:rPr>
            </w:pPr>
            <w:r w:rsidRPr="007B3741">
              <w:rPr>
                <w:rFonts w:ascii="Lato Regular" w:eastAsia="Times New Roman" w:hAnsi="Lato Regular" w:cs="Times New Roman"/>
                <w:sz w:val="20"/>
                <w:szCs w:val="20"/>
              </w:rPr>
              <w:t># and type of legislators, regulators, and other decision-makers increase awareness and engagement in SRHR</w:t>
            </w:r>
          </w:p>
        </w:tc>
      </w:tr>
      <w:tr w:rsidR="005A1C0A" w:rsidRPr="007B3741" w14:paraId="1A109D25" w14:textId="77777777" w:rsidTr="00445A3E">
        <w:trPr>
          <w:trHeight w:val="20"/>
        </w:trPr>
        <w:tc>
          <w:tcPr>
            <w:tcW w:w="1339" w:type="pct"/>
            <w:vMerge/>
            <w:shd w:val="clear" w:color="auto" w:fill="auto"/>
            <w:vAlign w:val="center"/>
            <w:hideMark/>
          </w:tcPr>
          <w:p w14:paraId="1919A71A" w14:textId="77777777" w:rsidR="005A1C0A" w:rsidRPr="007B3741" w:rsidRDefault="005A1C0A" w:rsidP="00445A3E">
            <w:pPr>
              <w:spacing w:after="0" w:line="240" w:lineRule="auto"/>
              <w:rPr>
                <w:rFonts w:ascii="Lato Regular" w:eastAsia="Times New Roman" w:hAnsi="Lato Regular" w:cs="Times New Roman"/>
                <w:sz w:val="20"/>
                <w:szCs w:val="20"/>
              </w:rPr>
            </w:pPr>
          </w:p>
        </w:tc>
        <w:tc>
          <w:tcPr>
            <w:tcW w:w="290" w:type="pct"/>
            <w:shd w:val="clear" w:color="auto" w:fill="auto"/>
            <w:vAlign w:val="center"/>
            <w:hideMark/>
          </w:tcPr>
          <w:p w14:paraId="082C4C2B" w14:textId="77777777" w:rsidR="005A1C0A" w:rsidRPr="007B3741" w:rsidRDefault="005A1C0A" w:rsidP="00445A3E">
            <w:pPr>
              <w:spacing w:after="0" w:line="240" w:lineRule="auto"/>
              <w:jc w:val="center"/>
              <w:rPr>
                <w:rFonts w:ascii="Lato Regular" w:eastAsia="Times New Roman" w:hAnsi="Lato Regular" w:cs="Times New Roman"/>
                <w:sz w:val="20"/>
                <w:szCs w:val="20"/>
              </w:rPr>
            </w:pPr>
            <w:proofErr w:type="spellStart"/>
            <w:r w:rsidRPr="007B3741">
              <w:rPr>
                <w:rFonts w:ascii="Lato Regular" w:eastAsia="Times New Roman" w:hAnsi="Lato Regular" w:cs="Times New Roman"/>
                <w:sz w:val="20"/>
                <w:szCs w:val="20"/>
              </w:rPr>
              <w:t>PL1.2</w:t>
            </w:r>
            <w:proofErr w:type="spellEnd"/>
          </w:p>
        </w:tc>
        <w:tc>
          <w:tcPr>
            <w:tcW w:w="3371" w:type="pct"/>
            <w:shd w:val="clear" w:color="auto" w:fill="auto"/>
            <w:vAlign w:val="center"/>
            <w:hideMark/>
          </w:tcPr>
          <w:p w14:paraId="2672B82F" w14:textId="77777777" w:rsidR="005A1C0A" w:rsidRPr="007B3741" w:rsidRDefault="005A1C0A" w:rsidP="00445A3E">
            <w:pPr>
              <w:spacing w:after="0" w:line="240" w:lineRule="auto"/>
              <w:rPr>
                <w:rFonts w:ascii="Lato Regular" w:eastAsia="Times New Roman" w:hAnsi="Lato Regular"/>
                <w:sz w:val="20"/>
                <w:szCs w:val="20"/>
              </w:rPr>
            </w:pPr>
            <w:r w:rsidRPr="007B3741">
              <w:rPr>
                <w:rFonts w:ascii="Lato Regular" w:eastAsia="Times New Roman" w:hAnsi="Lato Regular"/>
                <w:sz w:val="20"/>
                <w:szCs w:val="20"/>
                <w:highlight w:val="yellow"/>
              </w:rPr>
              <w:t>Increased CSO participation in policy and budgetary processes (e.g. Joint Annual Reviews, development of health sector strategic plans, national delegations on the country's SRHR commitments, etc.)</w:t>
            </w:r>
          </w:p>
        </w:tc>
      </w:tr>
      <w:tr w:rsidR="005A1C0A" w:rsidRPr="007B3741" w14:paraId="2BDBFB49" w14:textId="77777777" w:rsidTr="00445A3E">
        <w:trPr>
          <w:trHeight w:val="20"/>
        </w:trPr>
        <w:tc>
          <w:tcPr>
            <w:tcW w:w="1339" w:type="pct"/>
            <w:vMerge/>
            <w:shd w:val="clear" w:color="auto" w:fill="auto"/>
            <w:vAlign w:val="center"/>
            <w:hideMark/>
          </w:tcPr>
          <w:p w14:paraId="0A696584" w14:textId="77777777" w:rsidR="005A1C0A" w:rsidRPr="007B3741" w:rsidRDefault="005A1C0A" w:rsidP="00445A3E">
            <w:pPr>
              <w:spacing w:after="0" w:line="240" w:lineRule="auto"/>
              <w:rPr>
                <w:rFonts w:ascii="Lato Regular" w:eastAsia="Times New Roman" w:hAnsi="Lato Regular" w:cs="Times New Roman"/>
                <w:sz w:val="20"/>
                <w:szCs w:val="20"/>
              </w:rPr>
            </w:pPr>
          </w:p>
        </w:tc>
        <w:tc>
          <w:tcPr>
            <w:tcW w:w="290" w:type="pct"/>
            <w:shd w:val="clear" w:color="auto" w:fill="auto"/>
            <w:vAlign w:val="center"/>
            <w:hideMark/>
          </w:tcPr>
          <w:p w14:paraId="086840F7" w14:textId="77777777" w:rsidR="005A1C0A" w:rsidRPr="007B3741" w:rsidRDefault="005A1C0A" w:rsidP="00445A3E">
            <w:pPr>
              <w:spacing w:after="0" w:line="240" w:lineRule="auto"/>
              <w:jc w:val="center"/>
              <w:rPr>
                <w:rFonts w:ascii="Lato Regular" w:eastAsia="Times New Roman" w:hAnsi="Lato Regular" w:cs="Times New Roman"/>
                <w:sz w:val="20"/>
                <w:szCs w:val="20"/>
              </w:rPr>
            </w:pPr>
            <w:proofErr w:type="spellStart"/>
            <w:r w:rsidRPr="007B3741">
              <w:rPr>
                <w:rFonts w:ascii="Lato Regular" w:eastAsia="Times New Roman" w:hAnsi="Lato Regular" w:cs="Times New Roman"/>
                <w:sz w:val="20"/>
                <w:szCs w:val="20"/>
              </w:rPr>
              <w:t>PL1.3</w:t>
            </w:r>
            <w:proofErr w:type="spellEnd"/>
          </w:p>
        </w:tc>
        <w:tc>
          <w:tcPr>
            <w:tcW w:w="3371" w:type="pct"/>
            <w:shd w:val="clear" w:color="auto" w:fill="auto"/>
            <w:vAlign w:val="center"/>
            <w:hideMark/>
          </w:tcPr>
          <w:p w14:paraId="2290E633" w14:textId="77777777" w:rsidR="005A1C0A" w:rsidRPr="00FE1CCE" w:rsidRDefault="005A1C0A" w:rsidP="00445A3E">
            <w:pPr>
              <w:spacing w:after="0" w:line="240" w:lineRule="auto"/>
              <w:rPr>
                <w:rFonts w:ascii="Lato Regular" w:eastAsia="Times New Roman" w:hAnsi="Lato Regular" w:cs="Times New Roman"/>
                <w:color w:val="000000" w:themeColor="text1"/>
                <w:sz w:val="20"/>
                <w:szCs w:val="20"/>
              </w:rPr>
            </w:pPr>
            <w:r w:rsidRPr="00FE1CCE">
              <w:rPr>
                <w:rFonts w:ascii="Lato Regular" w:eastAsia="Times New Roman" w:hAnsi="Lato Regular" w:cs="Times New Roman"/>
                <w:sz w:val="20"/>
                <w:szCs w:val="20"/>
              </w:rPr>
              <w:t xml:space="preserve">Inclusion of CSO recommendations in </w:t>
            </w:r>
            <w:r w:rsidRPr="00FE1CCE">
              <w:rPr>
                <w:rFonts w:ascii="Lato Regular" w:eastAsia="Times New Roman" w:hAnsi="Lato Regular" w:cs="Times New Roman"/>
                <w:color w:val="000000" w:themeColor="text1"/>
                <w:sz w:val="20"/>
                <w:szCs w:val="20"/>
              </w:rPr>
              <w:t xml:space="preserve">policy and budgetary decisions/proposals/reviews </w:t>
            </w:r>
          </w:p>
        </w:tc>
      </w:tr>
      <w:tr w:rsidR="005A1C0A" w:rsidRPr="007B3741" w14:paraId="1B746950" w14:textId="77777777" w:rsidTr="00445A3E">
        <w:trPr>
          <w:trHeight w:val="20"/>
        </w:trPr>
        <w:tc>
          <w:tcPr>
            <w:tcW w:w="1339" w:type="pct"/>
            <w:vMerge/>
            <w:shd w:val="clear" w:color="auto" w:fill="auto"/>
            <w:vAlign w:val="center"/>
            <w:hideMark/>
          </w:tcPr>
          <w:p w14:paraId="3143E14F" w14:textId="77777777" w:rsidR="005A1C0A" w:rsidRPr="007B3741" w:rsidRDefault="005A1C0A" w:rsidP="00445A3E">
            <w:pPr>
              <w:spacing w:after="0" w:line="240" w:lineRule="auto"/>
              <w:rPr>
                <w:rFonts w:ascii="Lato Regular" w:eastAsia="Times New Roman" w:hAnsi="Lato Regular" w:cs="Times New Roman"/>
                <w:sz w:val="20"/>
                <w:szCs w:val="20"/>
              </w:rPr>
            </w:pPr>
          </w:p>
        </w:tc>
        <w:tc>
          <w:tcPr>
            <w:tcW w:w="290" w:type="pct"/>
            <w:shd w:val="clear" w:color="auto" w:fill="auto"/>
            <w:vAlign w:val="center"/>
            <w:hideMark/>
          </w:tcPr>
          <w:p w14:paraId="1427599C" w14:textId="77777777" w:rsidR="005A1C0A" w:rsidRPr="007B3741" w:rsidRDefault="005A1C0A" w:rsidP="00445A3E">
            <w:pPr>
              <w:spacing w:after="0" w:line="240" w:lineRule="auto"/>
              <w:jc w:val="center"/>
              <w:rPr>
                <w:rFonts w:ascii="Lato Regular" w:eastAsia="Times New Roman" w:hAnsi="Lato Regular" w:cs="Times New Roman"/>
                <w:sz w:val="20"/>
                <w:szCs w:val="20"/>
              </w:rPr>
            </w:pPr>
            <w:proofErr w:type="spellStart"/>
            <w:r w:rsidRPr="007B3741">
              <w:rPr>
                <w:rFonts w:ascii="Lato Regular" w:eastAsia="Times New Roman" w:hAnsi="Lato Regular" w:cs="Times New Roman"/>
                <w:sz w:val="20"/>
                <w:szCs w:val="20"/>
              </w:rPr>
              <w:t>PL1.4</w:t>
            </w:r>
            <w:proofErr w:type="spellEnd"/>
          </w:p>
        </w:tc>
        <w:tc>
          <w:tcPr>
            <w:tcW w:w="3371" w:type="pct"/>
            <w:shd w:val="clear" w:color="auto" w:fill="auto"/>
            <w:vAlign w:val="center"/>
            <w:hideMark/>
          </w:tcPr>
          <w:p w14:paraId="44A57B35" w14:textId="77777777" w:rsidR="005A1C0A" w:rsidRPr="007B3741" w:rsidRDefault="005A1C0A" w:rsidP="00445A3E">
            <w:pPr>
              <w:spacing w:after="0" w:line="240" w:lineRule="auto"/>
              <w:rPr>
                <w:rFonts w:ascii="Lato Regular" w:eastAsia="Times New Roman" w:hAnsi="Lato Regular" w:cs="Times New Roman"/>
                <w:color w:val="00B050"/>
                <w:sz w:val="20"/>
                <w:szCs w:val="20"/>
              </w:rPr>
            </w:pPr>
            <w:r w:rsidRPr="007B3741">
              <w:rPr>
                <w:rFonts w:ascii="Lato Regular" w:eastAsia="Times New Roman" w:hAnsi="Lato Regular" w:cs="Times New Roman"/>
                <w:color w:val="000000" w:themeColor="text1"/>
                <w:sz w:val="20"/>
                <w:szCs w:val="20"/>
              </w:rPr>
              <w:t xml:space="preserve">Increased availability and/or accessibility of data on SRHR indicators disaggregated by marginalised populations released by Government HMIS (“marginalised populations” will be defined in conjunction with </w:t>
            </w:r>
            <w:proofErr w:type="spellStart"/>
            <w:r w:rsidRPr="007B3741">
              <w:rPr>
                <w:rFonts w:ascii="Lato Regular" w:eastAsia="Times New Roman" w:hAnsi="Lato Regular" w:cs="Times New Roman"/>
                <w:color w:val="000000" w:themeColor="text1"/>
                <w:sz w:val="20"/>
                <w:szCs w:val="20"/>
              </w:rPr>
              <w:t>CSOs</w:t>
            </w:r>
            <w:proofErr w:type="spellEnd"/>
            <w:r w:rsidRPr="007B3741">
              <w:rPr>
                <w:rFonts w:ascii="Lato Regular" w:eastAsia="Times New Roman" w:hAnsi="Lato Regular" w:cs="Times New Roman"/>
                <w:color w:val="000000" w:themeColor="text1"/>
                <w:sz w:val="20"/>
                <w:szCs w:val="20"/>
              </w:rPr>
              <w:t>)</w:t>
            </w:r>
          </w:p>
        </w:tc>
      </w:tr>
      <w:tr w:rsidR="005A1C0A" w:rsidRPr="007B3741" w14:paraId="29CF31A3" w14:textId="77777777" w:rsidTr="00445A3E">
        <w:trPr>
          <w:trHeight w:val="20"/>
        </w:trPr>
        <w:tc>
          <w:tcPr>
            <w:tcW w:w="1339" w:type="pct"/>
            <w:shd w:val="clear" w:color="auto" w:fill="auto"/>
            <w:vAlign w:val="center"/>
          </w:tcPr>
          <w:p w14:paraId="5BF8D95C" w14:textId="77777777" w:rsidR="005A1C0A" w:rsidRPr="009C0EA1" w:rsidRDefault="005A1C0A" w:rsidP="00445A3E">
            <w:pPr>
              <w:spacing w:after="0" w:line="240" w:lineRule="auto"/>
              <w:rPr>
                <w:rFonts w:ascii="Lato Regular" w:eastAsia="Times New Roman" w:hAnsi="Lato Regular" w:cs="Times New Roman"/>
                <w:color w:val="000000"/>
                <w:sz w:val="20"/>
                <w:szCs w:val="20"/>
              </w:rPr>
            </w:pPr>
            <w:proofErr w:type="spellStart"/>
            <w:r w:rsidRPr="007B3741">
              <w:rPr>
                <w:rFonts w:ascii="Lato Regular" w:eastAsia="Times New Roman" w:hAnsi="Lato Regular" w:cs="Times New Roman"/>
                <w:color w:val="000000"/>
                <w:sz w:val="20"/>
                <w:szCs w:val="20"/>
              </w:rPr>
              <w:t>PL2</w:t>
            </w:r>
            <w:proofErr w:type="spellEnd"/>
            <w:r w:rsidRPr="007B3741">
              <w:rPr>
                <w:rFonts w:ascii="Lato Regular" w:eastAsia="Times New Roman" w:hAnsi="Lato Regular" w:cs="Times New Roman"/>
                <w:color w:val="000000"/>
                <w:sz w:val="20"/>
                <w:szCs w:val="20"/>
              </w:rPr>
              <w:t>. Changes in SRHR policies/laws/ budget allocations</w:t>
            </w:r>
          </w:p>
        </w:tc>
        <w:tc>
          <w:tcPr>
            <w:tcW w:w="290" w:type="pct"/>
            <w:shd w:val="clear" w:color="auto" w:fill="auto"/>
            <w:vAlign w:val="center"/>
          </w:tcPr>
          <w:p w14:paraId="74B77A35" w14:textId="77777777" w:rsidR="005A1C0A" w:rsidRPr="007B3741" w:rsidRDefault="005A1C0A" w:rsidP="00445A3E">
            <w:pPr>
              <w:spacing w:after="0" w:line="240" w:lineRule="auto"/>
              <w:jc w:val="center"/>
              <w:rPr>
                <w:rFonts w:ascii="Lato Regular" w:eastAsia="Times New Roman" w:hAnsi="Lato Regular" w:cs="Times New Roman"/>
                <w:color w:val="000000"/>
                <w:sz w:val="20"/>
                <w:szCs w:val="20"/>
              </w:rPr>
            </w:pPr>
            <w:proofErr w:type="spellStart"/>
            <w:r w:rsidRPr="007B3741">
              <w:rPr>
                <w:rFonts w:ascii="Lato Regular" w:eastAsia="Times New Roman" w:hAnsi="Lato Regular" w:cs="Times New Roman"/>
                <w:color w:val="000000"/>
                <w:sz w:val="20"/>
                <w:szCs w:val="20"/>
              </w:rPr>
              <w:t>PL2.1</w:t>
            </w:r>
            <w:proofErr w:type="spellEnd"/>
          </w:p>
        </w:tc>
        <w:tc>
          <w:tcPr>
            <w:tcW w:w="3371" w:type="pct"/>
            <w:shd w:val="clear" w:color="auto" w:fill="auto"/>
            <w:vAlign w:val="center"/>
          </w:tcPr>
          <w:p w14:paraId="3DD830A6" w14:textId="77777777" w:rsidR="005A1C0A" w:rsidRPr="00CF054F" w:rsidRDefault="005A1C0A" w:rsidP="00445A3E">
            <w:pPr>
              <w:spacing w:after="0" w:line="240" w:lineRule="auto"/>
              <w:rPr>
                <w:rFonts w:ascii="Lato Regular" w:eastAsia="Times New Roman" w:hAnsi="Lato Regular" w:cs="Times New Roman"/>
                <w:color w:val="FF0000"/>
                <w:sz w:val="20"/>
                <w:szCs w:val="20"/>
              </w:rPr>
            </w:pPr>
            <w:r w:rsidRPr="002A3C61">
              <w:rPr>
                <w:rFonts w:ascii="Lato Regular" w:eastAsia="Times New Roman" w:hAnsi="Lato Regular"/>
                <w:color w:val="000000" w:themeColor="text1"/>
                <w:sz w:val="20"/>
                <w:szCs w:val="20"/>
                <w:highlight w:val="yellow"/>
              </w:rPr>
              <w:t>National policies, laws, budget allocations improved by civil society engagement (These include the introduction of new and or improved policies, or the mitigation of negative policies, all to create a more favourable policy environment for SRHR)</w:t>
            </w:r>
          </w:p>
        </w:tc>
      </w:tr>
    </w:tbl>
    <w:p w14:paraId="0CB0122F" w14:textId="77777777" w:rsidR="005A1C0A" w:rsidRDefault="005A1C0A" w:rsidP="005A1C0A">
      <w:pPr>
        <w:spacing w:after="0" w:line="240" w:lineRule="auto"/>
        <w:rPr>
          <w:rFonts w:ascii="Lato Regular" w:hAnsi="Lato Regular"/>
          <w:sz w:val="20"/>
          <w:szCs w:val="20"/>
        </w:rPr>
      </w:pPr>
    </w:p>
    <w:tbl>
      <w:tblPr>
        <w:tblW w:w="5225" w:type="pct"/>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739"/>
        <w:gridCol w:w="1007"/>
        <w:gridCol w:w="10066"/>
      </w:tblGrid>
      <w:tr w:rsidR="005A1C0A" w:rsidRPr="00BC456A" w14:paraId="42744A9A" w14:textId="77777777" w:rsidTr="00445A3E">
        <w:trPr>
          <w:trHeight w:val="20"/>
        </w:trPr>
        <w:tc>
          <w:tcPr>
            <w:tcW w:w="5000" w:type="pct"/>
            <w:gridSpan w:val="3"/>
            <w:shd w:val="clear" w:color="auto" w:fill="000000"/>
            <w:vAlign w:val="center"/>
          </w:tcPr>
          <w:p w14:paraId="59B651FD" w14:textId="77777777" w:rsidR="005A1C0A" w:rsidRPr="00BC456A" w:rsidRDefault="005A1C0A" w:rsidP="00445A3E">
            <w:pPr>
              <w:spacing w:after="0" w:line="240" w:lineRule="auto"/>
              <w:rPr>
                <w:rFonts w:ascii="Lato Regular" w:hAnsi="Lato Regular"/>
                <w:b/>
                <w:sz w:val="20"/>
                <w:szCs w:val="20"/>
              </w:rPr>
            </w:pPr>
            <w:r w:rsidRPr="00BC456A">
              <w:rPr>
                <w:rFonts w:ascii="Lato Regular" w:hAnsi="Lato Regular"/>
                <w:b/>
                <w:sz w:val="20"/>
                <w:szCs w:val="20"/>
              </w:rPr>
              <w:t>OUTCOME</w:t>
            </w:r>
            <w:r>
              <w:rPr>
                <w:rFonts w:ascii="Lato Regular" w:hAnsi="Lato Regular"/>
                <w:b/>
                <w:sz w:val="20"/>
                <w:szCs w:val="20"/>
              </w:rPr>
              <w:t xml:space="preserve"> 3</w:t>
            </w:r>
            <w:r w:rsidRPr="00BC456A">
              <w:rPr>
                <w:rFonts w:ascii="Lato Regular" w:hAnsi="Lato Regular"/>
                <w:b/>
                <w:sz w:val="20"/>
                <w:szCs w:val="20"/>
              </w:rPr>
              <w:t xml:space="preserve">: </w:t>
            </w:r>
            <w:r w:rsidRPr="00BC456A">
              <w:rPr>
                <w:rFonts w:ascii="Lato Regular" w:eastAsia="Times New Roman" w:hAnsi="Lato Regular" w:cs="Times New Roman"/>
                <w:b/>
                <w:sz w:val="20"/>
                <w:szCs w:val="20"/>
              </w:rPr>
              <w:t>Increased access to SRHR resources, information and services</w:t>
            </w:r>
            <w:r>
              <w:rPr>
                <w:rFonts w:ascii="Lato Regular" w:eastAsia="Times New Roman" w:hAnsi="Lato Regular" w:cs="Times New Roman"/>
                <w:b/>
                <w:sz w:val="20"/>
                <w:szCs w:val="20"/>
              </w:rPr>
              <w:t xml:space="preserve"> (AR)</w:t>
            </w:r>
          </w:p>
        </w:tc>
      </w:tr>
      <w:tr w:rsidR="005A1C0A" w:rsidRPr="00BC456A" w14:paraId="08A04550" w14:textId="77777777" w:rsidTr="00445A3E">
        <w:trPr>
          <w:trHeight w:val="20"/>
        </w:trPr>
        <w:tc>
          <w:tcPr>
            <w:tcW w:w="1262" w:type="pct"/>
            <w:shd w:val="clear" w:color="auto" w:fill="auto"/>
            <w:vAlign w:val="center"/>
          </w:tcPr>
          <w:p w14:paraId="025EBACF" w14:textId="77777777" w:rsidR="005A1C0A" w:rsidRPr="00BC456A" w:rsidRDefault="005A1C0A" w:rsidP="00445A3E">
            <w:pPr>
              <w:spacing w:after="0" w:line="240" w:lineRule="auto"/>
              <w:contextualSpacing/>
              <w:rPr>
                <w:rFonts w:ascii="Lato Regular" w:eastAsia="Times New Roman" w:hAnsi="Lato Regular" w:cs="Times New Roman"/>
                <w:b/>
                <w:bCs/>
                <w:color w:val="4472C4" w:themeColor="accent5"/>
                <w:sz w:val="20"/>
                <w:szCs w:val="20"/>
              </w:rPr>
            </w:pPr>
            <w:r w:rsidRPr="00BC456A">
              <w:rPr>
                <w:rFonts w:ascii="Lato Regular" w:eastAsia="Times New Roman" w:hAnsi="Lato Regular" w:cs="Times New Roman"/>
                <w:b/>
                <w:bCs/>
                <w:color w:val="000000" w:themeColor="text1"/>
                <w:sz w:val="20"/>
                <w:szCs w:val="20"/>
              </w:rPr>
              <w:t>OUTPUT</w:t>
            </w:r>
          </w:p>
        </w:tc>
        <w:tc>
          <w:tcPr>
            <w:tcW w:w="3738" w:type="pct"/>
            <w:gridSpan w:val="2"/>
            <w:shd w:val="clear" w:color="auto" w:fill="auto"/>
            <w:vAlign w:val="center"/>
          </w:tcPr>
          <w:p w14:paraId="073147E8" w14:textId="77777777" w:rsidR="005A1C0A" w:rsidRPr="00BC456A" w:rsidRDefault="005A1C0A" w:rsidP="00445A3E">
            <w:pPr>
              <w:spacing w:after="0" w:line="240" w:lineRule="auto"/>
              <w:contextualSpacing/>
              <w:rPr>
                <w:rFonts w:ascii="Lato Regular" w:eastAsia="Times New Roman" w:hAnsi="Lato Regular" w:cs="Times New Roman"/>
                <w:b/>
                <w:bCs/>
                <w:color w:val="000000"/>
                <w:sz w:val="20"/>
                <w:szCs w:val="20"/>
              </w:rPr>
            </w:pPr>
            <w:r w:rsidRPr="00BC456A">
              <w:rPr>
                <w:rFonts w:ascii="Lato Regular" w:eastAsia="Times New Roman" w:hAnsi="Lato Regular" w:cs="Times New Roman"/>
                <w:b/>
                <w:bCs/>
                <w:color w:val="000000"/>
                <w:sz w:val="20"/>
                <w:szCs w:val="20"/>
              </w:rPr>
              <w:t>INDICATOR</w:t>
            </w:r>
          </w:p>
        </w:tc>
      </w:tr>
      <w:tr w:rsidR="005A1C0A" w:rsidRPr="00BC456A" w14:paraId="14BE1BDD" w14:textId="77777777" w:rsidTr="00445A3E">
        <w:trPr>
          <w:trHeight w:val="20"/>
        </w:trPr>
        <w:tc>
          <w:tcPr>
            <w:tcW w:w="1262" w:type="pct"/>
            <w:shd w:val="clear" w:color="auto" w:fill="auto"/>
            <w:vAlign w:val="center"/>
          </w:tcPr>
          <w:p w14:paraId="078FB0C0" w14:textId="77777777" w:rsidR="005A1C0A" w:rsidRPr="00BC456A" w:rsidRDefault="005A1C0A" w:rsidP="00445A3E">
            <w:pPr>
              <w:spacing w:after="0" w:line="240" w:lineRule="auto"/>
              <w:contextualSpacing/>
              <w:rPr>
                <w:rFonts w:ascii="Lato Regular" w:eastAsia="Times New Roman" w:hAnsi="Lato Regular" w:cs="Times New Roman"/>
                <w:sz w:val="20"/>
                <w:szCs w:val="20"/>
              </w:rPr>
            </w:pPr>
          </w:p>
        </w:tc>
        <w:tc>
          <w:tcPr>
            <w:tcW w:w="340" w:type="pct"/>
            <w:shd w:val="clear" w:color="auto" w:fill="auto"/>
            <w:vAlign w:val="center"/>
          </w:tcPr>
          <w:p w14:paraId="2E7C5DCB" w14:textId="77777777" w:rsidR="005A1C0A" w:rsidRPr="00BC456A" w:rsidRDefault="005A1C0A" w:rsidP="00445A3E">
            <w:pPr>
              <w:spacing w:after="0" w:line="240" w:lineRule="auto"/>
              <w:contextualSpacing/>
              <w:jc w:val="center"/>
              <w:rPr>
                <w:rFonts w:ascii="Lato Regular" w:eastAsia="Times New Roman" w:hAnsi="Lato Regular" w:cs="Times New Roman"/>
                <w:sz w:val="20"/>
                <w:szCs w:val="20"/>
              </w:rPr>
            </w:pPr>
            <w:proofErr w:type="spellStart"/>
            <w:r w:rsidRPr="00BC456A">
              <w:rPr>
                <w:rFonts w:ascii="Lato Regular" w:eastAsia="Times New Roman" w:hAnsi="Lato Regular" w:cs="Times New Roman"/>
                <w:sz w:val="20"/>
                <w:szCs w:val="20"/>
              </w:rPr>
              <w:t>AR0.1</w:t>
            </w:r>
            <w:proofErr w:type="spellEnd"/>
          </w:p>
        </w:tc>
        <w:tc>
          <w:tcPr>
            <w:tcW w:w="3398" w:type="pct"/>
            <w:shd w:val="clear" w:color="auto" w:fill="auto"/>
            <w:vAlign w:val="center"/>
          </w:tcPr>
          <w:p w14:paraId="7426EF7A" w14:textId="77777777" w:rsidR="005A1C0A" w:rsidRPr="00BC456A" w:rsidRDefault="005A1C0A" w:rsidP="00445A3E">
            <w:pPr>
              <w:spacing w:after="0" w:line="240" w:lineRule="auto"/>
              <w:contextualSpacing/>
              <w:rPr>
                <w:rFonts w:ascii="Lato Regular" w:eastAsia="Times New Roman" w:hAnsi="Lato Regular" w:cs="Times New Roman"/>
                <w:sz w:val="20"/>
                <w:szCs w:val="20"/>
              </w:rPr>
            </w:pPr>
            <w:r w:rsidRPr="00BC456A">
              <w:rPr>
                <w:rFonts w:ascii="Lato Regular" w:eastAsia="Times New Roman" w:hAnsi="Lato Regular"/>
                <w:sz w:val="20"/>
                <w:szCs w:val="20"/>
                <w:highlight w:val="yellow"/>
              </w:rPr>
              <w:t>Greater access to SRHR services/ information/ products for marginalised groups</w:t>
            </w:r>
          </w:p>
        </w:tc>
      </w:tr>
      <w:tr w:rsidR="005A1C0A" w:rsidRPr="00BC456A" w14:paraId="2FD5A25C" w14:textId="77777777" w:rsidTr="00445A3E">
        <w:trPr>
          <w:trHeight w:val="20"/>
        </w:trPr>
        <w:tc>
          <w:tcPr>
            <w:tcW w:w="1262" w:type="pct"/>
            <w:vMerge w:val="restart"/>
            <w:shd w:val="clear" w:color="auto" w:fill="auto"/>
            <w:vAlign w:val="center"/>
            <w:hideMark/>
          </w:tcPr>
          <w:p w14:paraId="5C3FA4CE" w14:textId="77777777" w:rsidR="005A1C0A" w:rsidRPr="00BC456A" w:rsidRDefault="005A1C0A" w:rsidP="00445A3E">
            <w:pPr>
              <w:spacing w:after="0" w:line="240" w:lineRule="auto"/>
              <w:contextualSpacing/>
              <w:rPr>
                <w:rFonts w:ascii="Lato Regular" w:eastAsia="Times New Roman" w:hAnsi="Lato Regular" w:cs="Times New Roman"/>
                <w:sz w:val="20"/>
                <w:szCs w:val="20"/>
              </w:rPr>
            </w:pPr>
            <w:proofErr w:type="spellStart"/>
            <w:r w:rsidRPr="00BC456A">
              <w:rPr>
                <w:rFonts w:ascii="Lato Regular" w:eastAsia="Times New Roman" w:hAnsi="Lato Regular" w:cs="Times New Roman"/>
                <w:sz w:val="20"/>
                <w:szCs w:val="20"/>
              </w:rPr>
              <w:t>AR1</w:t>
            </w:r>
            <w:proofErr w:type="spellEnd"/>
            <w:r w:rsidRPr="00BC456A">
              <w:rPr>
                <w:rFonts w:ascii="Lato Regular" w:eastAsia="Times New Roman" w:hAnsi="Lato Regular" w:cs="Times New Roman"/>
                <w:sz w:val="20"/>
                <w:szCs w:val="20"/>
              </w:rPr>
              <w:t xml:space="preserve">. Expansion or improvement of SRHR services and/or information and/or products delivered by </w:t>
            </w:r>
            <w:proofErr w:type="spellStart"/>
            <w:r w:rsidRPr="00BC456A">
              <w:rPr>
                <w:rFonts w:ascii="Lato Regular" w:eastAsia="Times New Roman" w:hAnsi="Lato Regular" w:cs="Times New Roman"/>
                <w:sz w:val="20"/>
                <w:szCs w:val="20"/>
              </w:rPr>
              <w:t>CSOs</w:t>
            </w:r>
            <w:proofErr w:type="spellEnd"/>
            <w:r w:rsidRPr="00BC456A">
              <w:rPr>
                <w:rFonts w:ascii="Lato Regular" w:eastAsia="Times New Roman" w:hAnsi="Lato Regular" w:cs="Times New Roman"/>
                <w:sz w:val="20"/>
                <w:szCs w:val="20"/>
              </w:rPr>
              <w:t xml:space="preserve"> </w:t>
            </w:r>
          </w:p>
        </w:tc>
        <w:tc>
          <w:tcPr>
            <w:tcW w:w="340" w:type="pct"/>
            <w:shd w:val="clear" w:color="auto" w:fill="auto"/>
            <w:vAlign w:val="center"/>
            <w:hideMark/>
          </w:tcPr>
          <w:p w14:paraId="10A26388" w14:textId="77777777" w:rsidR="005A1C0A" w:rsidRPr="00BC456A" w:rsidRDefault="005A1C0A" w:rsidP="00445A3E">
            <w:pPr>
              <w:spacing w:after="0" w:line="240" w:lineRule="auto"/>
              <w:contextualSpacing/>
              <w:jc w:val="center"/>
              <w:rPr>
                <w:rFonts w:ascii="Lato Regular" w:eastAsia="Times New Roman" w:hAnsi="Lato Regular" w:cs="Times New Roman"/>
                <w:sz w:val="20"/>
                <w:szCs w:val="20"/>
              </w:rPr>
            </w:pPr>
            <w:proofErr w:type="spellStart"/>
            <w:r w:rsidRPr="00BC456A">
              <w:rPr>
                <w:rFonts w:ascii="Lato Regular" w:eastAsia="Times New Roman" w:hAnsi="Lato Regular" w:cs="Times New Roman"/>
                <w:sz w:val="20"/>
                <w:szCs w:val="20"/>
              </w:rPr>
              <w:t>AR1.1</w:t>
            </w:r>
            <w:proofErr w:type="spellEnd"/>
          </w:p>
        </w:tc>
        <w:tc>
          <w:tcPr>
            <w:tcW w:w="3398" w:type="pct"/>
            <w:shd w:val="clear" w:color="auto" w:fill="auto"/>
            <w:vAlign w:val="center"/>
            <w:hideMark/>
          </w:tcPr>
          <w:p w14:paraId="40D11313" w14:textId="77777777" w:rsidR="005A1C0A" w:rsidRPr="00BC456A" w:rsidRDefault="005A1C0A" w:rsidP="00445A3E">
            <w:pPr>
              <w:spacing w:after="0" w:line="240" w:lineRule="auto"/>
              <w:contextualSpacing/>
              <w:rPr>
                <w:rFonts w:ascii="Lato Regular" w:eastAsia="Times New Roman" w:hAnsi="Lato Regular" w:cs="Times New Roman"/>
                <w:sz w:val="20"/>
                <w:szCs w:val="20"/>
              </w:rPr>
            </w:pPr>
            <w:r w:rsidRPr="00BC456A">
              <w:rPr>
                <w:rFonts w:ascii="Lato Regular" w:eastAsia="Times New Roman" w:hAnsi="Lato Regular" w:cs="Times New Roman"/>
                <w:sz w:val="20"/>
                <w:szCs w:val="20"/>
              </w:rPr>
              <w:t xml:space="preserve">Increased # of new users of SRHR services/ information/ products </w:t>
            </w:r>
            <w:r w:rsidRPr="00BC456A">
              <w:rPr>
                <w:rFonts w:ascii="Lato Regular" w:eastAsia="Times New Roman" w:hAnsi="Lato Regular" w:cs="Times New Roman"/>
                <w:i/>
                <w:sz w:val="20"/>
                <w:szCs w:val="20"/>
              </w:rPr>
              <w:t xml:space="preserve">(e.g. new users reached by services, </w:t>
            </w:r>
            <w:proofErr w:type="spellStart"/>
            <w:r w:rsidRPr="00BC456A">
              <w:rPr>
                <w:rFonts w:ascii="Lato Regular" w:eastAsia="Times New Roman" w:hAnsi="Lato Regular" w:cs="Times New Roman"/>
                <w:i/>
                <w:sz w:val="20"/>
                <w:szCs w:val="20"/>
              </w:rPr>
              <w:t>CSE</w:t>
            </w:r>
            <w:proofErr w:type="spellEnd"/>
            <w:r w:rsidRPr="00BC456A">
              <w:rPr>
                <w:rFonts w:ascii="Lato Regular" w:eastAsia="Times New Roman" w:hAnsi="Lato Regular" w:cs="Times New Roman"/>
                <w:i/>
                <w:sz w:val="20"/>
                <w:szCs w:val="20"/>
              </w:rPr>
              <w:t>, sanitary pads)</w:t>
            </w:r>
          </w:p>
        </w:tc>
      </w:tr>
      <w:tr w:rsidR="005A1C0A" w:rsidRPr="00BC456A" w14:paraId="7F93043F" w14:textId="77777777" w:rsidTr="00445A3E">
        <w:trPr>
          <w:trHeight w:val="20"/>
        </w:trPr>
        <w:tc>
          <w:tcPr>
            <w:tcW w:w="1262" w:type="pct"/>
            <w:vMerge/>
            <w:shd w:val="clear" w:color="auto" w:fill="auto"/>
            <w:vAlign w:val="center"/>
            <w:hideMark/>
          </w:tcPr>
          <w:p w14:paraId="31C270D3" w14:textId="77777777" w:rsidR="005A1C0A" w:rsidRPr="00BC456A" w:rsidRDefault="005A1C0A" w:rsidP="00445A3E">
            <w:pPr>
              <w:spacing w:after="0" w:line="240" w:lineRule="auto"/>
              <w:contextualSpacing/>
              <w:rPr>
                <w:rFonts w:ascii="Lato Regular" w:eastAsia="Times New Roman" w:hAnsi="Lato Regular" w:cs="Times New Roman"/>
                <w:sz w:val="20"/>
                <w:szCs w:val="20"/>
              </w:rPr>
            </w:pPr>
          </w:p>
        </w:tc>
        <w:tc>
          <w:tcPr>
            <w:tcW w:w="340" w:type="pct"/>
            <w:shd w:val="clear" w:color="auto" w:fill="auto"/>
            <w:vAlign w:val="center"/>
          </w:tcPr>
          <w:p w14:paraId="0B6F1A7C" w14:textId="77777777" w:rsidR="005A1C0A" w:rsidRPr="00BC456A" w:rsidRDefault="005A1C0A" w:rsidP="00445A3E">
            <w:pPr>
              <w:spacing w:after="0" w:line="240" w:lineRule="auto"/>
              <w:contextualSpacing/>
              <w:jc w:val="center"/>
              <w:rPr>
                <w:rFonts w:ascii="Lato Regular" w:eastAsia="Times New Roman" w:hAnsi="Lato Regular" w:cs="Times New Roman"/>
                <w:sz w:val="20"/>
                <w:szCs w:val="20"/>
              </w:rPr>
            </w:pPr>
            <w:proofErr w:type="spellStart"/>
            <w:r w:rsidRPr="00BC456A">
              <w:rPr>
                <w:rFonts w:ascii="Lato Regular" w:eastAsia="Times New Roman" w:hAnsi="Lato Regular" w:cs="Times New Roman"/>
                <w:sz w:val="20"/>
                <w:szCs w:val="20"/>
              </w:rPr>
              <w:t>AR1.2</w:t>
            </w:r>
            <w:proofErr w:type="spellEnd"/>
          </w:p>
        </w:tc>
        <w:tc>
          <w:tcPr>
            <w:tcW w:w="3398" w:type="pct"/>
            <w:shd w:val="clear" w:color="auto" w:fill="auto"/>
            <w:vAlign w:val="center"/>
            <w:hideMark/>
          </w:tcPr>
          <w:p w14:paraId="4057B3A1" w14:textId="77777777" w:rsidR="005A1C0A" w:rsidRPr="00503470" w:rsidRDefault="005A1C0A" w:rsidP="00445A3E">
            <w:pPr>
              <w:spacing w:after="0" w:line="240" w:lineRule="auto"/>
              <w:contextualSpacing/>
              <w:rPr>
                <w:rFonts w:ascii="Lato Regular" w:eastAsia="Times New Roman" w:hAnsi="Lato Regular" w:cs="Times New Roman"/>
                <w:sz w:val="20"/>
                <w:szCs w:val="20"/>
              </w:rPr>
            </w:pPr>
            <w:r w:rsidRPr="00BC456A">
              <w:rPr>
                <w:rFonts w:ascii="Lato Regular" w:eastAsia="Times New Roman" w:hAnsi="Lato Regular" w:cs="Times New Roman"/>
                <w:sz w:val="20"/>
                <w:szCs w:val="20"/>
              </w:rPr>
              <w:t>Improved quality of services/ information/ products (using recognised quality standard as defined in conjunction with CSO)</w:t>
            </w:r>
            <w:r>
              <w:rPr>
                <w:rFonts w:ascii="Lato Regular" w:eastAsia="Times New Roman" w:hAnsi="Lato Regular" w:cs="Times New Roman"/>
                <w:sz w:val="20"/>
                <w:szCs w:val="20"/>
              </w:rPr>
              <w:t xml:space="preserve"> </w:t>
            </w:r>
            <w:r w:rsidRPr="00BC456A">
              <w:rPr>
                <w:rFonts w:ascii="Lato Regular" w:eastAsia="Times New Roman" w:hAnsi="Lato Regular" w:cs="Times New Roman"/>
                <w:i/>
                <w:sz w:val="20"/>
                <w:szCs w:val="20"/>
              </w:rPr>
              <w:t>(e.g. better quality youth friendly services)</w:t>
            </w:r>
          </w:p>
        </w:tc>
      </w:tr>
      <w:tr w:rsidR="005A1C0A" w:rsidRPr="00BC456A" w14:paraId="12286990" w14:textId="77777777" w:rsidTr="00445A3E">
        <w:trPr>
          <w:trHeight w:val="20"/>
        </w:trPr>
        <w:tc>
          <w:tcPr>
            <w:tcW w:w="1262" w:type="pct"/>
            <w:vMerge/>
            <w:shd w:val="clear" w:color="auto" w:fill="auto"/>
            <w:vAlign w:val="center"/>
          </w:tcPr>
          <w:p w14:paraId="4616E025" w14:textId="77777777" w:rsidR="005A1C0A" w:rsidRPr="00BC456A" w:rsidRDefault="005A1C0A" w:rsidP="00445A3E">
            <w:pPr>
              <w:spacing w:after="0" w:line="240" w:lineRule="auto"/>
              <w:contextualSpacing/>
              <w:rPr>
                <w:rFonts w:ascii="Lato Regular" w:eastAsia="Times New Roman" w:hAnsi="Lato Regular" w:cs="Times New Roman"/>
                <w:sz w:val="20"/>
                <w:szCs w:val="20"/>
              </w:rPr>
            </w:pPr>
          </w:p>
        </w:tc>
        <w:tc>
          <w:tcPr>
            <w:tcW w:w="340" w:type="pct"/>
            <w:shd w:val="clear" w:color="auto" w:fill="auto"/>
            <w:vAlign w:val="center"/>
          </w:tcPr>
          <w:p w14:paraId="76A1BDA2" w14:textId="77777777" w:rsidR="005A1C0A" w:rsidRPr="00BC456A" w:rsidRDefault="005A1C0A" w:rsidP="00445A3E">
            <w:pPr>
              <w:spacing w:after="0" w:line="240" w:lineRule="auto"/>
              <w:contextualSpacing/>
              <w:jc w:val="center"/>
              <w:rPr>
                <w:rFonts w:ascii="Lato Regular" w:eastAsia="Times New Roman" w:hAnsi="Lato Regular" w:cs="Times New Roman"/>
                <w:sz w:val="20"/>
                <w:szCs w:val="20"/>
              </w:rPr>
            </w:pPr>
            <w:proofErr w:type="spellStart"/>
            <w:r w:rsidRPr="00BC456A">
              <w:rPr>
                <w:rFonts w:ascii="Lato Regular" w:eastAsia="Times New Roman" w:hAnsi="Lato Regular" w:cs="Times New Roman"/>
                <w:sz w:val="20"/>
                <w:szCs w:val="20"/>
              </w:rPr>
              <w:t>AR1.3</w:t>
            </w:r>
            <w:proofErr w:type="spellEnd"/>
          </w:p>
        </w:tc>
        <w:tc>
          <w:tcPr>
            <w:tcW w:w="3398" w:type="pct"/>
            <w:shd w:val="clear" w:color="auto" w:fill="auto"/>
            <w:vAlign w:val="center"/>
            <w:hideMark/>
          </w:tcPr>
          <w:p w14:paraId="35F4FA05" w14:textId="77777777" w:rsidR="005A1C0A" w:rsidRPr="00BC456A" w:rsidRDefault="005A1C0A" w:rsidP="00445A3E">
            <w:pPr>
              <w:spacing w:after="0" w:line="240" w:lineRule="auto"/>
              <w:contextualSpacing/>
              <w:rPr>
                <w:rFonts w:ascii="Lato Regular" w:eastAsia="Times New Roman" w:hAnsi="Lato Regular" w:cs="Times New Roman"/>
                <w:sz w:val="20"/>
                <w:szCs w:val="20"/>
              </w:rPr>
            </w:pPr>
            <w:r w:rsidRPr="00BC456A">
              <w:rPr>
                <w:rFonts w:ascii="Lato Regular" w:eastAsia="Times New Roman" w:hAnsi="Lato Regular" w:cs="Times New Roman"/>
                <w:sz w:val="20"/>
                <w:szCs w:val="20"/>
              </w:rPr>
              <w:t>Increased cost-effectiveness per quality and accessible services/ information/ products</w:t>
            </w:r>
          </w:p>
        </w:tc>
      </w:tr>
      <w:tr w:rsidR="005A1C0A" w:rsidRPr="00BC456A" w14:paraId="060D3C87" w14:textId="77777777" w:rsidTr="00445A3E">
        <w:trPr>
          <w:trHeight w:val="20"/>
        </w:trPr>
        <w:tc>
          <w:tcPr>
            <w:tcW w:w="1262" w:type="pct"/>
            <w:vMerge w:val="restart"/>
            <w:shd w:val="clear" w:color="auto" w:fill="auto"/>
            <w:vAlign w:val="center"/>
            <w:hideMark/>
          </w:tcPr>
          <w:p w14:paraId="33666153" w14:textId="77777777" w:rsidR="005A1C0A" w:rsidRPr="00BC456A" w:rsidRDefault="005A1C0A" w:rsidP="00445A3E">
            <w:pPr>
              <w:spacing w:after="0" w:line="240" w:lineRule="auto"/>
              <w:contextualSpacing/>
              <w:rPr>
                <w:rFonts w:ascii="Lato Regular" w:eastAsia="Times New Roman" w:hAnsi="Lato Regular" w:cs="Times New Roman"/>
                <w:sz w:val="20"/>
                <w:szCs w:val="20"/>
              </w:rPr>
            </w:pPr>
            <w:proofErr w:type="spellStart"/>
            <w:r w:rsidRPr="00BC456A">
              <w:rPr>
                <w:rFonts w:ascii="Lato Regular" w:eastAsia="Times New Roman" w:hAnsi="Lato Regular" w:cs="Times New Roman"/>
                <w:sz w:val="20"/>
                <w:szCs w:val="20"/>
              </w:rPr>
              <w:t>AR2</w:t>
            </w:r>
            <w:proofErr w:type="spellEnd"/>
            <w:r w:rsidRPr="00BC456A">
              <w:rPr>
                <w:rFonts w:ascii="Lato Regular" w:eastAsia="Times New Roman" w:hAnsi="Lato Regular" w:cs="Times New Roman"/>
                <w:sz w:val="20"/>
                <w:szCs w:val="20"/>
              </w:rPr>
              <w:t xml:space="preserve">. Strengthened </w:t>
            </w:r>
            <w:r w:rsidRPr="00BC456A">
              <w:rPr>
                <w:rFonts w:ascii="Lato Regular" w:eastAsia="Times New Roman" w:hAnsi="Lato Regular" w:cs="Times New Roman"/>
                <w:b/>
                <w:bCs/>
                <w:sz w:val="20"/>
                <w:szCs w:val="20"/>
              </w:rPr>
              <w:t>multi-sector c</w:t>
            </w:r>
            <w:r w:rsidRPr="00BC456A">
              <w:rPr>
                <w:rFonts w:ascii="Lato Regular" w:eastAsia="Times New Roman" w:hAnsi="Lato Regular" w:cs="Times New Roman"/>
                <w:sz w:val="20"/>
                <w:szCs w:val="20"/>
              </w:rPr>
              <w:t>apacity and engagement (health, education, public institutions, private sector, etc.) for SRHR service delivery</w:t>
            </w:r>
          </w:p>
        </w:tc>
        <w:tc>
          <w:tcPr>
            <w:tcW w:w="340" w:type="pct"/>
            <w:shd w:val="clear" w:color="auto" w:fill="auto"/>
            <w:vAlign w:val="center"/>
            <w:hideMark/>
          </w:tcPr>
          <w:p w14:paraId="79B086D7" w14:textId="77777777" w:rsidR="005A1C0A" w:rsidRPr="00BC456A" w:rsidRDefault="005A1C0A" w:rsidP="00445A3E">
            <w:pPr>
              <w:spacing w:after="0" w:line="240" w:lineRule="auto"/>
              <w:contextualSpacing/>
              <w:jc w:val="center"/>
              <w:rPr>
                <w:rFonts w:ascii="Lato Regular" w:eastAsia="Times New Roman" w:hAnsi="Lato Regular" w:cs="Times New Roman"/>
                <w:sz w:val="20"/>
                <w:szCs w:val="20"/>
              </w:rPr>
            </w:pPr>
            <w:proofErr w:type="spellStart"/>
            <w:r w:rsidRPr="00BC456A">
              <w:rPr>
                <w:rFonts w:ascii="Lato Regular" w:eastAsia="Times New Roman" w:hAnsi="Lato Regular" w:cs="Times New Roman"/>
                <w:sz w:val="20"/>
                <w:szCs w:val="20"/>
              </w:rPr>
              <w:t>AR2.1</w:t>
            </w:r>
            <w:proofErr w:type="spellEnd"/>
          </w:p>
        </w:tc>
        <w:tc>
          <w:tcPr>
            <w:tcW w:w="3398" w:type="pct"/>
            <w:shd w:val="clear" w:color="auto" w:fill="auto"/>
            <w:vAlign w:val="center"/>
            <w:hideMark/>
          </w:tcPr>
          <w:p w14:paraId="0431D035" w14:textId="77777777" w:rsidR="005A1C0A" w:rsidRPr="00BC456A" w:rsidRDefault="005A1C0A" w:rsidP="00445A3E">
            <w:pPr>
              <w:spacing w:after="0" w:line="240" w:lineRule="auto"/>
              <w:contextualSpacing/>
              <w:rPr>
                <w:rFonts w:ascii="Lato Regular" w:eastAsia="Times New Roman" w:hAnsi="Lato Regular" w:cs="Times New Roman"/>
                <w:sz w:val="20"/>
                <w:szCs w:val="20"/>
              </w:rPr>
            </w:pPr>
            <w:r w:rsidRPr="00BC456A">
              <w:rPr>
                <w:rFonts w:ascii="Lato Regular" w:eastAsia="Times New Roman" w:hAnsi="Lato Regular" w:cs="Times New Roman"/>
                <w:sz w:val="20"/>
                <w:szCs w:val="20"/>
              </w:rPr>
              <w:t xml:space="preserve">Changes to national health, education or social sector curricula that includes in- and pre-service training on SRHR topics </w:t>
            </w:r>
            <w:r w:rsidRPr="00BC456A">
              <w:rPr>
                <w:rFonts w:ascii="Lato Regular" w:eastAsia="Times New Roman" w:hAnsi="Lato Regular" w:cs="Times New Roman"/>
                <w:i/>
                <w:sz w:val="20"/>
                <w:szCs w:val="20"/>
              </w:rPr>
              <w:t>(e.g. family planning, abortion, post-abortion care, GBV, working with marginalised populations)</w:t>
            </w:r>
            <w:r w:rsidRPr="00BC456A">
              <w:rPr>
                <w:rFonts w:ascii="Lato Regular" w:eastAsia="Times New Roman" w:hAnsi="Lato Regular" w:cs="Times New Roman"/>
                <w:sz w:val="20"/>
                <w:szCs w:val="20"/>
              </w:rPr>
              <w:t xml:space="preserve"> </w:t>
            </w:r>
          </w:p>
        </w:tc>
      </w:tr>
      <w:tr w:rsidR="005A1C0A" w:rsidRPr="00BC456A" w14:paraId="0F8B16BF" w14:textId="77777777" w:rsidTr="00445A3E">
        <w:trPr>
          <w:trHeight w:val="20"/>
        </w:trPr>
        <w:tc>
          <w:tcPr>
            <w:tcW w:w="1262" w:type="pct"/>
            <w:vMerge/>
            <w:shd w:val="clear" w:color="auto" w:fill="auto"/>
            <w:vAlign w:val="center"/>
            <w:hideMark/>
          </w:tcPr>
          <w:p w14:paraId="44D7AE28" w14:textId="77777777" w:rsidR="005A1C0A" w:rsidRPr="00BC456A" w:rsidRDefault="005A1C0A" w:rsidP="00445A3E">
            <w:pPr>
              <w:spacing w:after="0" w:line="240" w:lineRule="auto"/>
              <w:contextualSpacing/>
              <w:rPr>
                <w:rFonts w:ascii="Lato Regular" w:eastAsia="Times New Roman" w:hAnsi="Lato Regular" w:cs="Times New Roman"/>
                <w:sz w:val="20"/>
                <w:szCs w:val="20"/>
              </w:rPr>
            </w:pPr>
          </w:p>
        </w:tc>
        <w:tc>
          <w:tcPr>
            <w:tcW w:w="340" w:type="pct"/>
            <w:shd w:val="clear" w:color="auto" w:fill="auto"/>
            <w:vAlign w:val="center"/>
            <w:hideMark/>
          </w:tcPr>
          <w:p w14:paraId="21410754" w14:textId="77777777" w:rsidR="005A1C0A" w:rsidRPr="00BC456A" w:rsidRDefault="005A1C0A" w:rsidP="00445A3E">
            <w:pPr>
              <w:spacing w:after="0" w:line="240" w:lineRule="auto"/>
              <w:contextualSpacing/>
              <w:jc w:val="center"/>
              <w:rPr>
                <w:rFonts w:ascii="Lato Regular" w:eastAsia="Times New Roman" w:hAnsi="Lato Regular" w:cs="Times New Roman"/>
                <w:sz w:val="20"/>
                <w:szCs w:val="20"/>
              </w:rPr>
            </w:pPr>
            <w:proofErr w:type="spellStart"/>
            <w:r w:rsidRPr="00BC456A">
              <w:rPr>
                <w:rFonts w:ascii="Lato Regular" w:eastAsia="Times New Roman" w:hAnsi="Lato Regular" w:cs="Times New Roman"/>
                <w:sz w:val="20"/>
                <w:szCs w:val="20"/>
              </w:rPr>
              <w:t>AR2.2</w:t>
            </w:r>
            <w:proofErr w:type="spellEnd"/>
          </w:p>
        </w:tc>
        <w:tc>
          <w:tcPr>
            <w:tcW w:w="3398" w:type="pct"/>
            <w:shd w:val="clear" w:color="auto" w:fill="auto"/>
            <w:vAlign w:val="center"/>
            <w:hideMark/>
          </w:tcPr>
          <w:p w14:paraId="56C2F057" w14:textId="77777777" w:rsidR="005A1C0A" w:rsidRPr="00BC456A" w:rsidRDefault="005A1C0A" w:rsidP="00445A3E">
            <w:pPr>
              <w:spacing w:after="0" w:line="240" w:lineRule="auto"/>
              <w:contextualSpacing/>
              <w:rPr>
                <w:rFonts w:ascii="Lato Regular" w:eastAsia="Times New Roman" w:hAnsi="Lato Regular" w:cs="Times New Roman"/>
                <w:color w:val="000000" w:themeColor="text1"/>
                <w:sz w:val="20"/>
                <w:szCs w:val="20"/>
              </w:rPr>
            </w:pPr>
            <w:r w:rsidRPr="00BC456A">
              <w:rPr>
                <w:rFonts w:ascii="Lato Regular" w:eastAsia="Times New Roman" w:hAnsi="Lato Regular" w:cs="Times New Roman"/>
                <w:sz w:val="20"/>
                <w:szCs w:val="20"/>
              </w:rPr>
              <w:t xml:space="preserve">#, type and level of institution implementing new mechanisms or practices to strengthen SRHR service, </w:t>
            </w:r>
            <w:r w:rsidRPr="00BC456A">
              <w:rPr>
                <w:rFonts w:ascii="Lato Regular" w:eastAsia="Times New Roman" w:hAnsi="Lato Regular" w:cs="Times New Roman"/>
                <w:color w:val="000000" w:themeColor="text1"/>
                <w:sz w:val="20"/>
                <w:szCs w:val="20"/>
              </w:rPr>
              <w:t xml:space="preserve">product and education delivery </w:t>
            </w:r>
            <w:r w:rsidRPr="00BC456A">
              <w:rPr>
                <w:rFonts w:ascii="Lato Regular" w:eastAsia="Times New Roman" w:hAnsi="Lato Regular" w:cs="Times New Roman"/>
                <w:i/>
                <w:color w:val="000000" w:themeColor="text1"/>
                <w:sz w:val="20"/>
                <w:szCs w:val="20"/>
              </w:rPr>
              <w:t>(e.g. task sharing projects, increasing distribution points)</w:t>
            </w:r>
          </w:p>
        </w:tc>
      </w:tr>
      <w:tr w:rsidR="005A1C0A" w:rsidRPr="00BC456A" w14:paraId="40971101" w14:textId="77777777" w:rsidTr="00445A3E">
        <w:trPr>
          <w:trHeight w:val="20"/>
        </w:trPr>
        <w:tc>
          <w:tcPr>
            <w:tcW w:w="1262" w:type="pct"/>
            <w:vMerge/>
            <w:shd w:val="clear" w:color="auto" w:fill="auto"/>
            <w:vAlign w:val="center"/>
          </w:tcPr>
          <w:p w14:paraId="65F44865" w14:textId="77777777" w:rsidR="005A1C0A" w:rsidRPr="00BC456A" w:rsidRDefault="005A1C0A" w:rsidP="00445A3E">
            <w:pPr>
              <w:spacing w:after="0" w:line="240" w:lineRule="auto"/>
              <w:contextualSpacing/>
              <w:rPr>
                <w:rFonts w:ascii="Lato Regular" w:eastAsia="Times New Roman" w:hAnsi="Lato Regular" w:cs="Times New Roman"/>
                <w:sz w:val="20"/>
                <w:szCs w:val="20"/>
              </w:rPr>
            </w:pPr>
          </w:p>
        </w:tc>
        <w:tc>
          <w:tcPr>
            <w:tcW w:w="340" w:type="pct"/>
            <w:shd w:val="clear" w:color="auto" w:fill="auto"/>
            <w:vAlign w:val="center"/>
          </w:tcPr>
          <w:p w14:paraId="678A2E92" w14:textId="77777777" w:rsidR="005A1C0A" w:rsidRPr="00BC456A" w:rsidRDefault="005A1C0A" w:rsidP="00445A3E">
            <w:pPr>
              <w:spacing w:after="0" w:line="240" w:lineRule="auto"/>
              <w:contextualSpacing/>
              <w:jc w:val="center"/>
              <w:rPr>
                <w:rFonts w:ascii="Lato Regular" w:eastAsia="Times New Roman" w:hAnsi="Lato Regular" w:cs="Times New Roman"/>
                <w:sz w:val="20"/>
                <w:szCs w:val="20"/>
              </w:rPr>
            </w:pPr>
            <w:proofErr w:type="spellStart"/>
            <w:r w:rsidRPr="00BC456A">
              <w:rPr>
                <w:rFonts w:ascii="Lato Regular" w:eastAsia="Times New Roman" w:hAnsi="Lato Regular" w:cs="Times New Roman"/>
                <w:sz w:val="20"/>
                <w:szCs w:val="20"/>
              </w:rPr>
              <w:t>AR2.3</w:t>
            </w:r>
            <w:proofErr w:type="spellEnd"/>
          </w:p>
        </w:tc>
        <w:tc>
          <w:tcPr>
            <w:tcW w:w="3398" w:type="pct"/>
            <w:shd w:val="clear" w:color="auto" w:fill="auto"/>
            <w:vAlign w:val="center"/>
          </w:tcPr>
          <w:p w14:paraId="3B2975C0" w14:textId="77777777" w:rsidR="005A1C0A" w:rsidRPr="00BC456A" w:rsidRDefault="005A1C0A" w:rsidP="00445A3E">
            <w:pPr>
              <w:spacing w:line="240" w:lineRule="auto"/>
              <w:contextualSpacing/>
              <w:rPr>
                <w:rFonts w:ascii="Lato Regular" w:eastAsia="Times New Roman" w:hAnsi="Lato Regular" w:cs="Times New Roman"/>
                <w:color w:val="000000" w:themeColor="text1"/>
                <w:sz w:val="20"/>
                <w:szCs w:val="20"/>
              </w:rPr>
            </w:pPr>
            <w:r w:rsidRPr="00BC456A">
              <w:rPr>
                <w:rFonts w:ascii="Lato Regular" w:eastAsia="Times New Roman" w:hAnsi="Lato Regular"/>
                <w:sz w:val="20"/>
                <w:szCs w:val="20"/>
                <w:highlight w:val="yellow"/>
              </w:rPr>
              <w:t>Increased range (i.e. # of different types) of SRHR services (including information and products) available due to AmplifyChange grantee activity</w:t>
            </w:r>
            <w:r w:rsidRPr="00BC456A">
              <w:rPr>
                <w:rFonts w:ascii="Lato Regular" w:eastAsia="Times New Roman" w:hAnsi="Lato Regular" w:cs="Times New Roman"/>
                <w:i/>
                <w:color w:val="000000" w:themeColor="text1"/>
                <w:sz w:val="20"/>
                <w:szCs w:val="20"/>
              </w:rPr>
              <w:t xml:space="preserve"> (increased range of SRHR services includes, but not limited to: comprehensive youth friendly SRHR services with better opening hours, in better locations for youth. These services can range from SRHR counselling, provision of contraceptives, STI testing and treatment, voluntary HIV testing and counselling, and abortion related counselling)</w:t>
            </w:r>
          </w:p>
        </w:tc>
      </w:tr>
      <w:tr w:rsidR="005A1C0A" w:rsidRPr="00BC456A" w14:paraId="4D868E18" w14:textId="77777777" w:rsidTr="00445A3E">
        <w:trPr>
          <w:trHeight w:val="20"/>
        </w:trPr>
        <w:tc>
          <w:tcPr>
            <w:tcW w:w="1262" w:type="pct"/>
            <w:vMerge/>
            <w:shd w:val="clear" w:color="auto" w:fill="auto"/>
            <w:vAlign w:val="center"/>
          </w:tcPr>
          <w:p w14:paraId="7E742D6C" w14:textId="77777777" w:rsidR="005A1C0A" w:rsidRPr="00BC456A" w:rsidRDefault="005A1C0A" w:rsidP="00445A3E">
            <w:pPr>
              <w:spacing w:after="0" w:line="240" w:lineRule="auto"/>
              <w:contextualSpacing/>
              <w:rPr>
                <w:rFonts w:ascii="Lato Regular" w:eastAsia="Times New Roman" w:hAnsi="Lato Regular" w:cs="Times New Roman"/>
                <w:sz w:val="20"/>
                <w:szCs w:val="20"/>
              </w:rPr>
            </w:pPr>
          </w:p>
        </w:tc>
        <w:tc>
          <w:tcPr>
            <w:tcW w:w="340" w:type="pct"/>
            <w:shd w:val="clear" w:color="auto" w:fill="auto"/>
            <w:vAlign w:val="center"/>
          </w:tcPr>
          <w:p w14:paraId="49FF952D" w14:textId="77777777" w:rsidR="005A1C0A" w:rsidRPr="00BC456A" w:rsidRDefault="005A1C0A" w:rsidP="00445A3E">
            <w:pPr>
              <w:spacing w:after="0" w:line="240" w:lineRule="auto"/>
              <w:contextualSpacing/>
              <w:jc w:val="center"/>
              <w:rPr>
                <w:rFonts w:ascii="Lato Regular" w:eastAsia="Times New Roman" w:hAnsi="Lato Regular" w:cs="Times New Roman"/>
                <w:sz w:val="20"/>
                <w:szCs w:val="20"/>
              </w:rPr>
            </w:pPr>
            <w:proofErr w:type="spellStart"/>
            <w:r w:rsidRPr="00BC456A">
              <w:rPr>
                <w:rFonts w:ascii="Lato Regular" w:eastAsia="Times New Roman" w:hAnsi="Lato Regular" w:cs="Times New Roman"/>
                <w:sz w:val="20"/>
                <w:szCs w:val="20"/>
              </w:rPr>
              <w:t>AR2.4</w:t>
            </w:r>
            <w:proofErr w:type="spellEnd"/>
          </w:p>
        </w:tc>
        <w:tc>
          <w:tcPr>
            <w:tcW w:w="3398" w:type="pct"/>
            <w:shd w:val="clear" w:color="auto" w:fill="auto"/>
            <w:vAlign w:val="center"/>
          </w:tcPr>
          <w:p w14:paraId="6D0AAC72" w14:textId="77777777" w:rsidR="005A1C0A" w:rsidRPr="00BC456A" w:rsidRDefault="005A1C0A" w:rsidP="00445A3E">
            <w:pPr>
              <w:spacing w:after="0" w:line="240" w:lineRule="auto"/>
              <w:contextualSpacing/>
              <w:rPr>
                <w:rFonts w:ascii="Lato Regular" w:eastAsia="Times New Roman" w:hAnsi="Lato Regular" w:cs="Times New Roman"/>
                <w:color w:val="000000" w:themeColor="text1"/>
                <w:sz w:val="20"/>
                <w:szCs w:val="20"/>
              </w:rPr>
            </w:pPr>
            <w:r w:rsidRPr="00BC456A">
              <w:rPr>
                <w:rFonts w:ascii="Lato Regular" w:eastAsia="Times New Roman" w:hAnsi="Lato Regular" w:cs="Times New Roman"/>
                <w:color w:val="000000" w:themeColor="text1"/>
                <w:sz w:val="20"/>
                <w:szCs w:val="20"/>
              </w:rPr>
              <w:t xml:space="preserve">Improved routine national data collection to reflect target population/themes </w:t>
            </w:r>
            <w:r w:rsidRPr="00BC456A">
              <w:rPr>
                <w:rFonts w:ascii="Lato Regular" w:eastAsia="Times New Roman" w:hAnsi="Lato Regular" w:cs="Times New Roman"/>
                <w:i/>
                <w:color w:val="000000" w:themeColor="text1"/>
                <w:sz w:val="20"/>
                <w:szCs w:val="20"/>
              </w:rPr>
              <w:t>(e.g. age disaggregation)</w:t>
            </w:r>
          </w:p>
        </w:tc>
      </w:tr>
    </w:tbl>
    <w:p w14:paraId="3E061226" w14:textId="77777777" w:rsidR="005A1C0A" w:rsidRDefault="005A1C0A" w:rsidP="005A1C0A">
      <w:pPr>
        <w:rPr>
          <w:rFonts w:ascii="Lato Regular" w:hAnsi="Lato Regular"/>
          <w:sz w:val="20"/>
          <w:szCs w:val="20"/>
        </w:rPr>
      </w:pPr>
    </w:p>
    <w:tbl>
      <w:tblPr>
        <w:tblpPr w:leftFromText="144" w:rightFromText="144" w:vertAnchor="text" w:tblpX="-162" w:tblpY="1"/>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969"/>
        <w:gridCol w:w="9679"/>
      </w:tblGrid>
      <w:tr w:rsidR="005A1C0A" w:rsidRPr="00A548E1" w14:paraId="4DC8CA28" w14:textId="77777777" w:rsidTr="00445A3E">
        <w:trPr>
          <w:trHeight w:val="20"/>
          <w:tblHeader/>
        </w:trPr>
        <w:tc>
          <w:tcPr>
            <w:tcW w:w="5000" w:type="pct"/>
            <w:gridSpan w:val="3"/>
            <w:tcBorders>
              <w:bottom w:val="single" w:sz="8" w:space="0" w:color="auto"/>
            </w:tcBorders>
            <w:shd w:val="clear" w:color="auto" w:fill="000000"/>
            <w:vAlign w:val="center"/>
          </w:tcPr>
          <w:p w14:paraId="09F31712" w14:textId="77777777" w:rsidR="005A1C0A" w:rsidRPr="00A548E1" w:rsidRDefault="005A1C0A" w:rsidP="00445A3E">
            <w:pPr>
              <w:spacing w:after="0"/>
              <w:rPr>
                <w:sz w:val="20"/>
                <w:szCs w:val="20"/>
              </w:rPr>
            </w:pPr>
            <w:r w:rsidRPr="00CE7575">
              <w:rPr>
                <w:rFonts w:ascii="Lato Regular" w:hAnsi="Lato Regular"/>
                <w:b/>
                <w:color w:val="FFFFFF" w:themeColor="background1"/>
                <w:sz w:val="20"/>
                <w:szCs w:val="20"/>
              </w:rPr>
              <w:lastRenderedPageBreak/>
              <w:t xml:space="preserve">OUTCOME </w:t>
            </w:r>
            <w:r>
              <w:rPr>
                <w:rFonts w:ascii="Lato Regular" w:hAnsi="Lato Regular"/>
                <w:b/>
                <w:color w:val="FFFFFF" w:themeColor="background1"/>
                <w:sz w:val="20"/>
                <w:szCs w:val="20"/>
              </w:rPr>
              <w:t>4</w:t>
            </w:r>
            <w:r w:rsidRPr="00CE7575">
              <w:rPr>
                <w:rFonts w:ascii="Lato Regular" w:hAnsi="Lato Regular"/>
                <w:b/>
                <w:color w:val="FFFFFF" w:themeColor="background1"/>
                <w:sz w:val="20"/>
                <w:szCs w:val="20"/>
              </w:rPr>
              <w:t>: Change in social norms</w:t>
            </w:r>
            <w:r>
              <w:rPr>
                <w:rFonts w:ascii="Lato Regular" w:hAnsi="Lato Regular"/>
                <w:b/>
                <w:color w:val="FFFFFF" w:themeColor="background1"/>
                <w:sz w:val="20"/>
                <w:szCs w:val="20"/>
              </w:rPr>
              <w:t xml:space="preserve"> (SN)</w:t>
            </w:r>
          </w:p>
        </w:tc>
      </w:tr>
      <w:tr w:rsidR="005A1C0A" w:rsidRPr="007B3741" w14:paraId="0A8E596B" w14:textId="77777777" w:rsidTr="00445A3E">
        <w:trPr>
          <w:trHeight w:val="251"/>
          <w:tblHeader/>
        </w:trPr>
        <w:tc>
          <w:tcPr>
            <w:tcW w:w="136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B003859" w14:textId="77777777" w:rsidR="005A1C0A" w:rsidRPr="007B3741" w:rsidRDefault="005A1C0A" w:rsidP="00445A3E">
            <w:pPr>
              <w:spacing w:after="0" w:line="240" w:lineRule="auto"/>
              <w:contextualSpacing/>
              <w:rPr>
                <w:rFonts w:ascii="Lato Regular" w:eastAsia="Times New Roman" w:hAnsi="Lato Regular" w:cs="Times New Roman"/>
                <w:b/>
                <w:color w:val="4472C4" w:themeColor="accent5"/>
                <w:sz w:val="20"/>
                <w:szCs w:val="20"/>
              </w:rPr>
            </w:pPr>
            <w:r>
              <w:rPr>
                <w:rFonts w:ascii="Lato Regular" w:eastAsia="Times New Roman" w:hAnsi="Lato Regular" w:cs="Times New Roman"/>
                <w:b/>
                <w:bCs/>
                <w:color w:val="000000" w:themeColor="text1"/>
                <w:sz w:val="20"/>
                <w:szCs w:val="20"/>
              </w:rPr>
              <w:t>OUTPUT</w:t>
            </w:r>
          </w:p>
        </w:tc>
        <w:tc>
          <w:tcPr>
            <w:tcW w:w="363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27E83AD" w14:textId="77777777" w:rsidR="005A1C0A" w:rsidRPr="007B3741" w:rsidRDefault="005A1C0A" w:rsidP="00445A3E">
            <w:pPr>
              <w:spacing w:after="0" w:line="240" w:lineRule="auto"/>
              <w:contextualSpacing/>
              <w:rPr>
                <w:rFonts w:ascii="Lato Regular" w:eastAsia="Times New Roman" w:hAnsi="Lato Regular" w:cs="Times New Roman"/>
                <w:b/>
                <w:sz w:val="20"/>
                <w:szCs w:val="20"/>
              </w:rPr>
            </w:pPr>
            <w:r>
              <w:rPr>
                <w:rFonts w:ascii="Lato Regular" w:eastAsia="Times New Roman" w:hAnsi="Lato Regular" w:cs="Times New Roman"/>
                <w:b/>
                <w:sz w:val="20"/>
                <w:szCs w:val="20"/>
              </w:rPr>
              <w:t>INDICATOR</w:t>
            </w:r>
          </w:p>
        </w:tc>
      </w:tr>
      <w:tr w:rsidR="005A1C0A" w:rsidRPr="007B3741" w14:paraId="6ED10B46" w14:textId="77777777" w:rsidTr="00445A3E">
        <w:trPr>
          <w:trHeight w:val="20"/>
          <w:tblHeader/>
        </w:trPr>
        <w:tc>
          <w:tcPr>
            <w:tcW w:w="1363"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20921FC" w14:textId="77777777" w:rsidR="005A1C0A" w:rsidRPr="007B3741" w:rsidRDefault="005A1C0A" w:rsidP="00445A3E">
            <w:pPr>
              <w:spacing w:after="0" w:line="240" w:lineRule="auto"/>
              <w:contextualSpacing/>
              <w:rPr>
                <w:rFonts w:ascii="Lato Regular" w:eastAsia="Times New Roman" w:hAnsi="Lato Regular" w:cs="Times New Roman"/>
                <w:sz w:val="20"/>
                <w:szCs w:val="20"/>
              </w:rPr>
            </w:pPr>
            <w:proofErr w:type="spellStart"/>
            <w:r w:rsidRPr="007B3741">
              <w:rPr>
                <w:rFonts w:ascii="Lato Regular" w:eastAsia="Times New Roman" w:hAnsi="Lato Regular" w:cs="Times New Roman"/>
                <w:sz w:val="20"/>
                <w:szCs w:val="20"/>
              </w:rPr>
              <w:t>SN1</w:t>
            </w:r>
            <w:proofErr w:type="spellEnd"/>
            <w:r w:rsidRPr="007B3741">
              <w:rPr>
                <w:rFonts w:ascii="Lato Regular" w:eastAsia="Times New Roman" w:hAnsi="Lato Regular" w:cs="Times New Roman"/>
                <w:sz w:val="20"/>
                <w:szCs w:val="20"/>
              </w:rPr>
              <w:t>. Increased engagement among target populations to advocate for SRHR</w:t>
            </w:r>
          </w:p>
        </w:tc>
        <w:tc>
          <w:tcPr>
            <w:tcW w:w="33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369784C" w14:textId="77777777" w:rsidR="005A1C0A" w:rsidRPr="007B3741" w:rsidRDefault="005A1C0A" w:rsidP="00445A3E">
            <w:pPr>
              <w:spacing w:after="0" w:line="240" w:lineRule="auto"/>
              <w:contextualSpacing/>
              <w:rPr>
                <w:rFonts w:ascii="Lato Regular" w:eastAsia="Times New Roman" w:hAnsi="Lato Regular" w:cs="Times New Roman"/>
                <w:sz w:val="20"/>
                <w:szCs w:val="20"/>
              </w:rPr>
            </w:pPr>
            <w:proofErr w:type="spellStart"/>
            <w:r w:rsidRPr="007B3741">
              <w:rPr>
                <w:rFonts w:ascii="Lato Regular" w:eastAsia="Times New Roman" w:hAnsi="Lato Regular" w:cs="Times New Roman"/>
                <w:sz w:val="20"/>
                <w:szCs w:val="20"/>
              </w:rPr>
              <w:t>SN1.1</w:t>
            </w:r>
            <w:proofErr w:type="spellEnd"/>
          </w:p>
        </w:tc>
        <w:tc>
          <w:tcPr>
            <w:tcW w:w="330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038B47C" w14:textId="77777777" w:rsidR="005A1C0A" w:rsidRPr="007B3741" w:rsidRDefault="005A1C0A" w:rsidP="00445A3E">
            <w:pPr>
              <w:spacing w:after="0"/>
              <w:rPr>
                <w:rFonts w:ascii="Lato Regular" w:eastAsia="Times New Roman" w:hAnsi="Lato Regular"/>
                <w:sz w:val="20"/>
                <w:szCs w:val="20"/>
                <w:highlight w:val="yellow"/>
              </w:rPr>
            </w:pPr>
            <w:r w:rsidRPr="007B3741">
              <w:rPr>
                <w:rFonts w:ascii="Lato Regular" w:eastAsia="Times New Roman" w:hAnsi="Lato Regular"/>
                <w:sz w:val="20"/>
                <w:szCs w:val="20"/>
                <w:highlight w:val="yellow"/>
              </w:rPr>
              <w:t>Increased and more public support for SRHR, and less negative statements, from key influencers</w:t>
            </w:r>
          </w:p>
          <w:p w14:paraId="1A70A75B" w14:textId="77777777" w:rsidR="005A1C0A" w:rsidRPr="007B3741" w:rsidRDefault="005A1C0A" w:rsidP="00445A3E">
            <w:pPr>
              <w:spacing w:after="0"/>
              <w:rPr>
                <w:rFonts w:ascii="Lato Regular" w:eastAsia="Times New Roman" w:hAnsi="Lato Regular"/>
                <w:sz w:val="20"/>
                <w:szCs w:val="20"/>
              </w:rPr>
            </w:pPr>
            <w:r w:rsidRPr="007B3741">
              <w:rPr>
                <w:rFonts w:ascii="Lato Regular" w:eastAsia="Times New Roman" w:hAnsi="Lato Regular"/>
                <w:sz w:val="20"/>
                <w:szCs w:val="20"/>
                <w:highlight w:val="yellow"/>
              </w:rPr>
              <w:t>Key influencers are defined as: traditional, community and religious leaders, police, government policy-makers (both national and sub-national), celebrities, political leaders</w:t>
            </w:r>
          </w:p>
        </w:tc>
      </w:tr>
      <w:tr w:rsidR="005A1C0A" w:rsidRPr="007B3741" w14:paraId="3E2323C2" w14:textId="77777777" w:rsidTr="00445A3E">
        <w:trPr>
          <w:trHeight w:val="20"/>
          <w:tblHeader/>
        </w:trPr>
        <w:tc>
          <w:tcPr>
            <w:tcW w:w="136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4AA73FF" w14:textId="77777777" w:rsidR="005A1C0A" w:rsidRPr="007B3741" w:rsidRDefault="005A1C0A" w:rsidP="00445A3E">
            <w:pPr>
              <w:spacing w:after="0" w:line="240" w:lineRule="auto"/>
              <w:contextualSpacing/>
              <w:rPr>
                <w:rFonts w:ascii="Lato Regular" w:eastAsia="Times New Roman" w:hAnsi="Lato Regular" w:cs="Times New Roman"/>
                <w:sz w:val="20"/>
                <w:szCs w:val="20"/>
              </w:rPr>
            </w:pPr>
          </w:p>
        </w:tc>
        <w:tc>
          <w:tcPr>
            <w:tcW w:w="33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A30DB85" w14:textId="77777777" w:rsidR="005A1C0A" w:rsidRPr="007B3741" w:rsidRDefault="005A1C0A" w:rsidP="00445A3E">
            <w:pPr>
              <w:spacing w:after="0" w:line="240" w:lineRule="auto"/>
              <w:contextualSpacing/>
              <w:rPr>
                <w:rFonts w:ascii="Lato Regular" w:eastAsia="Times New Roman" w:hAnsi="Lato Regular" w:cs="Times New Roman"/>
                <w:sz w:val="20"/>
                <w:szCs w:val="20"/>
              </w:rPr>
            </w:pPr>
            <w:proofErr w:type="spellStart"/>
            <w:r w:rsidRPr="007B3741">
              <w:rPr>
                <w:rFonts w:ascii="Lato Regular" w:eastAsia="Times New Roman" w:hAnsi="Lato Regular" w:cs="Times New Roman"/>
                <w:sz w:val="20"/>
                <w:szCs w:val="20"/>
              </w:rPr>
              <w:t>SN1.2</w:t>
            </w:r>
            <w:proofErr w:type="spellEnd"/>
          </w:p>
        </w:tc>
        <w:tc>
          <w:tcPr>
            <w:tcW w:w="330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F626E02" w14:textId="77777777" w:rsidR="005A1C0A" w:rsidRPr="007B3741" w:rsidRDefault="005A1C0A" w:rsidP="00445A3E">
            <w:pPr>
              <w:spacing w:after="0" w:line="240" w:lineRule="auto"/>
              <w:contextualSpacing/>
              <w:rPr>
                <w:rFonts w:ascii="Lato Regular" w:eastAsia="Times New Roman" w:hAnsi="Lato Regular" w:cs="Times New Roman"/>
                <w:sz w:val="20"/>
                <w:szCs w:val="20"/>
              </w:rPr>
            </w:pPr>
            <w:r w:rsidRPr="007B3741">
              <w:rPr>
                <w:rFonts w:ascii="Lato Regular" w:eastAsia="Times New Roman" w:hAnsi="Lato Regular" w:cs="Times New Roman"/>
                <w:sz w:val="20"/>
                <w:szCs w:val="20"/>
              </w:rPr>
              <w:t xml:space="preserve">Men and boys increase their engagement to actively supporting SRHR </w:t>
            </w:r>
            <w:r w:rsidRPr="007B3741">
              <w:rPr>
                <w:rFonts w:ascii="Lato Regular" w:eastAsia="Times New Roman" w:hAnsi="Lato Regular" w:cs="Times New Roman"/>
                <w:i/>
                <w:sz w:val="20"/>
                <w:szCs w:val="20"/>
              </w:rPr>
              <w:t>(e.g., supporting girls and women in their family and community to exercise their SRHR, speaking out on SRHR issues in public, participating in marches, etc.)</w:t>
            </w:r>
          </w:p>
        </w:tc>
      </w:tr>
      <w:tr w:rsidR="005A1C0A" w:rsidRPr="007B3741" w14:paraId="6A6DBB7F" w14:textId="77777777" w:rsidTr="00445A3E">
        <w:trPr>
          <w:trHeight w:val="20"/>
          <w:tblHeader/>
        </w:trPr>
        <w:tc>
          <w:tcPr>
            <w:tcW w:w="136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51FABEE" w14:textId="77777777" w:rsidR="005A1C0A" w:rsidRPr="007B3741" w:rsidRDefault="005A1C0A" w:rsidP="00445A3E">
            <w:pPr>
              <w:spacing w:after="0" w:line="240" w:lineRule="auto"/>
              <w:contextualSpacing/>
              <w:rPr>
                <w:rFonts w:ascii="Lato Regular" w:eastAsia="Times New Roman" w:hAnsi="Lato Regular" w:cs="Times New Roman"/>
                <w:sz w:val="20"/>
                <w:szCs w:val="20"/>
              </w:rPr>
            </w:pPr>
          </w:p>
        </w:tc>
        <w:tc>
          <w:tcPr>
            <w:tcW w:w="33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B13BD3B" w14:textId="77777777" w:rsidR="005A1C0A" w:rsidRPr="007B3741" w:rsidRDefault="005A1C0A" w:rsidP="00445A3E">
            <w:pPr>
              <w:spacing w:after="0" w:line="240" w:lineRule="auto"/>
              <w:contextualSpacing/>
              <w:rPr>
                <w:rFonts w:ascii="Lato Regular" w:eastAsia="Times New Roman" w:hAnsi="Lato Regular" w:cs="Times New Roman"/>
                <w:sz w:val="20"/>
                <w:szCs w:val="20"/>
              </w:rPr>
            </w:pPr>
            <w:proofErr w:type="spellStart"/>
            <w:r w:rsidRPr="007B3741">
              <w:rPr>
                <w:rFonts w:ascii="Lato Regular" w:eastAsia="Times New Roman" w:hAnsi="Lato Regular" w:cs="Times New Roman"/>
                <w:sz w:val="20"/>
                <w:szCs w:val="20"/>
              </w:rPr>
              <w:t>SN1.3</w:t>
            </w:r>
            <w:proofErr w:type="spellEnd"/>
          </w:p>
        </w:tc>
        <w:tc>
          <w:tcPr>
            <w:tcW w:w="330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F4F25E7" w14:textId="77777777" w:rsidR="005A1C0A" w:rsidRPr="007B3741" w:rsidRDefault="005A1C0A" w:rsidP="00445A3E">
            <w:pPr>
              <w:spacing w:after="0" w:line="240" w:lineRule="auto"/>
              <w:contextualSpacing/>
              <w:rPr>
                <w:rFonts w:ascii="Lato Regular" w:eastAsia="Times New Roman" w:hAnsi="Lato Regular" w:cs="Times New Roman"/>
                <w:color w:val="FF0000"/>
                <w:sz w:val="20"/>
                <w:szCs w:val="20"/>
              </w:rPr>
            </w:pPr>
            <w:r w:rsidRPr="007B3741">
              <w:rPr>
                <w:rFonts w:ascii="Lato Regular" w:eastAsia="Times New Roman" w:hAnsi="Lato Regular"/>
                <w:sz w:val="20"/>
                <w:szCs w:val="20"/>
                <w:highlight w:val="yellow"/>
              </w:rPr>
              <w:t>Increased engagement amongst service providers to actively support SRHR for all populations, including the vulnerable and marginalised</w:t>
            </w:r>
          </w:p>
        </w:tc>
      </w:tr>
      <w:tr w:rsidR="005A1C0A" w:rsidRPr="007B3741" w14:paraId="42794035" w14:textId="77777777" w:rsidTr="00445A3E">
        <w:trPr>
          <w:trHeight w:val="20"/>
          <w:tblHeader/>
        </w:trPr>
        <w:tc>
          <w:tcPr>
            <w:tcW w:w="136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EBEFA44" w14:textId="77777777" w:rsidR="005A1C0A" w:rsidRPr="007B3741" w:rsidRDefault="005A1C0A" w:rsidP="00445A3E">
            <w:pPr>
              <w:spacing w:after="0" w:line="240" w:lineRule="auto"/>
              <w:contextualSpacing/>
              <w:rPr>
                <w:rFonts w:ascii="Lato Regular" w:eastAsia="Times New Roman" w:hAnsi="Lato Regular" w:cs="Times New Roman"/>
                <w:sz w:val="20"/>
                <w:szCs w:val="20"/>
              </w:rPr>
            </w:pPr>
          </w:p>
        </w:tc>
        <w:tc>
          <w:tcPr>
            <w:tcW w:w="33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F93B13C" w14:textId="77777777" w:rsidR="005A1C0A" w:rsidRPr="007B3741" w:rsidRDefault="005A1C0A" w:rsidP="00445A3E">
            <w:pPr>
              <w:spacing w:after="0" w:line="240" w:lineRule="auto"/>
              <w:contextualSpacing/>
              <w:rPr>
                <w:rFonts w:ascii="Lato Regular" w:eastAsia="Times New Roman" w:hAnsi="Lato Regular" w:cs="Times New Roman"/>
                <w:sz w:val="20"/>
                <w:szCs w:val="20"/>
              </w:rPr>
            </w:pPr>
            <w:proofErr w:type="spellStart"/>
            <w:r w:rsidRPr="007B3741">
              <w:rPr>
                <w:rFonts w:ascii="Lato Regular" w:eastAsia="Times New Roman" w:hAnsi="Lato Regular" w:cs="Times New Roman"/>
                <w:sz w:val="20"/>
                <w:szCs w:val="20"/>
              </w:rPr>
              <w:t>SN1.4</w:t>
            </w:r>
            <w:proofErr w:type="spellEnd"/>
          </w:p>
        </w:tc>
        <w:tc>
          <w:tcPr>
            <w:tcW w:w="330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0031CEA" w14:textId="77777777" w:rsidR="005A1C0A" w:rsidRPr="007B3741" w:rsidRDefault="005A1C0A" w:rsidP="00445A3E">
            <w:pPr>
              <w:spacing w:after="0" w:line="240" w:lineRule="auto"/>
              <w:contextualSpacing/>
              <w:rPr>
                <w:rFonts w:ascii="Lato Regular" w:eastAsia="Times New Roman" w:hAnsi="Lato Regular" w:cs="Times New Roman"/>
                <w:sz w:val="20"/>
                <w:szCs w:val="20"/>
              </w:rPr>
            </w:pPr>
            <w:r w:rsidRPr="007B3741">
              <w:rPr>
                <w:rFonts w:ascii="Lato Regular" w:eastAsia="Times New Roman" w:hAnsi="Lato Regular" w:cs="Times New Roman"/>
                <w:sz w:val="20"/>
                <w:szCs w:val="20"/>
              </w:rPr>
              <w:t>Changes in public opinion on SRHR topics</w:t>
            </w:r>
          </w:p>
        </w:tc>
      </w:tr>
      <w:tr w:rsidR="005A1C0A" w:rsidRPr="007B3741" w14:paraId="0B1DF8D3" w14:textId="77777777" w:rsidTr="00445A3E">
        <w:trPr>
          <w:trHeight w:val="20"/>
          <w:tblHeader/>
        </w:trPr>
        <w:tc>
          <w:tcPr>
            <w:tcW w:w="136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0A10D31" w14:textId="77777777" w:rsidR="005A1C0A" w:rsidRPr="007B3741" w:rsidRDefault="005A1C0A" w:rsidP="00445A3E">
            <w:pPr>
              <w:spacing w:after="0" w:line="240" w:lineRule="auto"/>
              <w:contextualSpacing/>
              <w:rPr>
                <w:rFonts w:ascii="Lato Regular" w:eastAsia="Times New Roman" w:hAnsi="Lato Regular" w:cs="Times New Roman"/>
                <w:sz w:val="20"/>
                <w:szCs w:val="20"/>
              </w:rPr>
            </w:pPr>
            <w:proofErr w:type="spellStart"/>
            <w:r w:rsidRPr="007B3741">
              <w:rPr>
                <w:rFonts w:ascii="Lato Regular" w:eastAsia="Times New Roman" w:hAnsi="Lato Regular" w:cs="Times New Roman"/>
                <w:sz w:val="20"/>
                <w:szCs w:val="20"/>
              </w:rPr>
              <w:t>SN2</w:t>
            </w:r>
            <w:proofErr w:type="spellEnd"/>
            <w:r w:rsidRPr="007B3741">
              <w:rPr>
                <w:rFonts w:ascii="Lato Regular" w:eastAsia="Times New Roman" w:hAnsi="Lato Regular" w:cs="Times New Roman"/>
                <w:sz w:val="20"/>
                <w:szCs w:val="20"/>
              </w:rPr>
              <w:t>. Increased media coverage of SRHR  from a human rights perspective</w:t>
            </w:r>
          </w:p>
        </w:tc>
        <w:tc>
          <w:tcPr>
            <w:tcW w:w="33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D83E5C4" w14:textId="77777777" w:rsidR="005A1C0A" w:rsidRPr="007B3741" w:rsidRDefault="005A1C0A" w:rsidP="00445A3E">
            <w:pPr>
              <w:spacing w:after="0" w:line="240" w:lineRule="auto"/>
              <w:contextualSpacing/>
              <w:rPr>
                <w:rFonts w:ascii="Lato Regular" w:eastAsia="Times New Roman" w:hAnsi="Lato Regular" w:cs="Times New Roman"/>
                <w:sz w:val="20"/>
                <w:szCs w:val="20"/>
              </w:rPr>
            </w:pPr>
            <w:proofErr w:type="spellStart"/>
            <w:r w:rsidRPr="007B3741">
              <w:rPr>
                <w:rFonts w:ascii="Lato Regular" w:eastAsia="Times New Roman" w:hAnsi="Lato Regular" w:cs="Times New Roman"/>
                <w:sz w:val="20"/>
                <w:szCs w:val="20"/>
              </w:rPr>
              <w:t>SN2.1</w:t>
            </w:r>
            <w:proofErr w:type="spellEnd"/>
          </w:p>
        </w:tc>
        <w:tc>
          <w:tcPr>
            <w:tcW w:w="330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8128FA8" w14:textId="77777777" w:rsidR="005A1C0A" w:rsidRPr="007B3741" w:rsidRDefault="005A1C0A" w:rsidP="00445A3E">
            <w:pPr>
              <w:spacing w:after="0" w:line="240" w:lineRule="auto"/>
              <w:contextualSpacing/>
              <w:rPr>
                <w:rFonts w:ascii="Lato Regular" w:eastAsia="Times New Roman" w:hAnsi="Lato Regular" w:cs="Times New Roman"/>
                <w:sz w:val="20"/>
                <w:szCs w:val="20"/>
              </w:rPr>
            </w:pPr>
            <w:r w:rsidRPr="007B3741">
              <w:rPr>
                <w:rFonts w:ascii="Lato Regular" w:eastAsia="Times New Roman" w:hAnsi="Lato Regular" w:cs="Times New Roman"/>
                <w:sz w:val="20"/>
                <w:szCs w:val="20"/>
              </w:rPr>
              <w:t>Increased media coverage of SRHR demonstrating accurate and holistic understanding of SRHR topics from a human rights perspective</w:t>
            </w:r>
          </w:p>
        </w:tc>
      </w:tr>
    </w:tbl>
    <w:p w14:paraId="17DF737F" w14:textId="77777777" w:rsidR="005A1C0A" w:rsidRDefault="005A1C0A" w:rsidP="005A1C0A">
      <w:pPr>
        <w:rPr>
          <w:rFonts w:ascii="Lato Regular" w:hAnsi="Lato Regular"/>
          <w:sz w:val="20"/>
          <w:szCs w:val="20"/>
        </w:rPr>
      </w:pPr>
    </w:p>
    <w:tbl>
      <w:tblPr>
        <w:tblW w:w="5157" w:type="pct"/>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70"/>
        <w:gridCol w:w="775"/>
        <w:gridCol w:w="9874"/>
      </w:tblGrid>
      <w:tr w:rsidR="005A1C0A" w:rsidRPr="00A548E1" w14:paraId="3199F21E" w14:textId="77777777" w:rsidTr="00445A3E">
        <w:trPr>
          <w:trHeight w:val="20"/>
        </w:trPr>
        <w:tc>
          <w:tcPr>
            <w:tcW w:w="5000" w:type="pct"/>
            <w:gridSpan w:val="3"/>
            <w:shd w:val="clear" w:color="auto" w:fill="000000"/>
            <w:vAlign w:val="center"/>
          </w:tcPr>
          <w:p w14:paraId="725E957E" w14:textId="77777777" w:rsidR="005A1C0A" w:rsidRPr="00A548E1" w:rsidRDefault="005A1C0A" w:rsidP="00445A3E">
            <w:pPr>
              <w:spacing w:after="0"/>
              <w:rPr>
                <w:rFonts w:ascii="Lato Regular" w:hAnsi="Lato Regular"/>
                <w:b/>
                <w:color w:val="FFFFFF" w:themeColor="background1"/>
                <w:sz w:val="20"/>
                <w:szCs w:val="20"/>
              </w:rPr>
            </w:pPr>
            <w:r w:rsidRPr="00A548E1">
              <w:rPr>
                <w:rFonts w:ascii="Lato Regular" w:hAnsi="Lato Regular"/>
                <w:b/>
                <w:color w:val="FFFFFF" w:themeColor="background1"/>
                <w:sz w:val="20"/>
                <w:szCs w:val="20"/>
              </w:rPr>
              <w:t>OUTCOME</w:t>
            </w:r>
            <w:r>
              <w:rPr>
                <w:rFonts w:ascii="Lato Regular" w:hAnsi="Lato Regular"/>
                <w:b/>
                <w:color w:val="FFFFFF" w:themeColor="background1"/>
                <w:sz w:val="20"/>
                <w:szCs w:val="20"/>
              </w:rPr>
              <w:t xml:space="preserve"> 5</w:t>
            </w:r>
            <w:r w:rsidRPr="00A548E1">
              <w:rPr>
                <w:rFonts w:ascii="Lato Regular" w:hAnsi="Lato Regular"/>
                <w:b/>
                <w:color w:val="FFFFFF" w:themeColor="background1"/>
                <w:sz w:val="20"/>
                <w:szCs w:val="20"/>
              </w:rPr>
              <w:t>: Increased individual SRHR awareness and agency</w:t>
            </w:r>
            <w:r>
              <w:rPr>
                <w:rFonts w:ascii="Lato Regular" w:hAnsi="Lato Regular"/>
                <w:b/>
                <w:color w:val="FFFFFF" w:themeColor="background1"/>
                <w:sz w:val="20"/>
                <w:szCs w:val="20"/>
              </w:rPr>
              <w:t xml:space="preserve"> (IA)</w:t>
            </w:r>
          </w:p>
        </w:tc>
      </w:tr>
      <w:tr w:rsidR="005A1C0A" w:rsidRPr="00BC456A" w14:paraId="430AF0CB" w14:textId="77777777" w:rsidTr="00445A3E">
        <w:trPr>
          <w:trHeight w:val="20"/>
        </w:trPr>
        <w:tc>
          <w:tcPr>
            <w:tcW w:w="1358" w:type="pct"/>
            <w:shd w:val="clear" w:color="auto" w:fill="auto"/>
            <w:vAlign w:val="center"/>
            <w:hideMark/>
          </w:tcPr>
          <w:p w14:paraId="79EA3FBD" w14:textId="77777777" w:rsidR="005A1C0A" w:rsidRPr="00BC456A" w:rsidRDefault="005A1C0A" w:rsidP="00445A3E">
            <w:pPr>
              <w:spacing w:after="0"/>
              <w:rPr>
                <w:rFonts w:ascii="Lato Regular" w:eastAsia="Times New Roman" w:hAnsi="Lato Regular" w:cs="Times New Roman"/>
                <w:b/>
                <w:bCs/>
                <w:color w:val="4472C4" w:themeColor="accent5"/>
                <w:sz w:val="20"/>
                <w:szCs w:val="20"/>
              </w:rPr>
            </w:pPr>
            <w:r w:rsidRPr="00BC456A">
              <w:rPr>
                <w:rFonts w:ascii="Lato Regular" w:eastAsia="Times New Roman" w:hAnsi="Lato Regular" w:cs="Times New Roman"/>
                <w:b/>
                <w:bCs/>
                <w:color w:val="000000" w:themeColor="text1"/>
                <w:sz w:val="20"/>
                <w:szCs w:val="20"/>
              </w:rPr>
              <w:t>OUTPUT</w:t>
            </w:r>
          </w:p>
        </w:tc>
        <w:tc>
          <w:tcPr>
            <w:tcW w:w="3642" w:type="pct"/>
            <w:gridSpan w:val="2"/>
            <w:shd w:val="clear" w:color="auto" w:fill="auto"/>
            <w:vAlign w:val="center"/>
            <w:hideMark/>
          </w:tcPr>
          <w:p w14:paraId="2A9C2382" w14:textId="77777777" w:rsidR="005A1C0A" w:rsidRPr="00BC456A" w:rsidRDefault="005A1C0A" w:rsidP="00445A3E">
            <w:pPr>
              <w:spacing w:after="0"/>
              <w:rPr>
                <w:rFonts w:ascii="Lato Regular" w:eastAsia="Times New Roman" w:hAnsi="Lato Regular" w:cs="Times New Roman"/>
                <w:b/>
                <w:bCs/>
                <w:color w:val="000000"/>
                <w:sz w:val="20"/>
                <w:szCs w:val="20"/>
              </w:rPr>
            </w:pPr>
            <w:r w:rsidRPr="00BC456A">
              <w:rPr>
                <w:rFonts w:ascii="Lato Regular" w:eastAsia="Times New Roman" w:hAnsi="Lato Regular" w:cs="Times New Roman"/>
                <w:b/>
                <w:bCs/>
                <w:color w:val="000000"/>
                <w:sz w:val="20"/>
                <w:szCs w:val="20"/>
              </w:rPr>
              <w:t>INDICATOR</w:t>
            </w:r>
          </w:p>
        </w:tc>
      </w:tr>
      <w:tr w:rsidR="005A1C0A" w:rsidRPr="00BC456A" w14:paraId="0421C544" w14:textId="77777777" w:rsidTr="00445A3E">
        <w:trPr>
          <w:trHeight w:val="20"/>
        </w:trPr>
        <w:tc>
          <w:tcPr>
            <w:tcW w:w="1358" w:type="pct"/>
            <w:shd w:val="clear" w:color="000000" w:fill="auto"/>
            <w:vAlign w:val="center"/>
          </w:tcPr>
          <w:p w14:paraId="15C468ED" w14:textId="77777777" w:rsidR="005A1C0A" w:rsidRPr="00503470" w:rsidRDefault="005A1C0A" w:rsidP="00445A3E">
            <w:pPr>
              <w:spacing w:after="0"/>
              <w:rPr>
                <w:rFonts w:ascii="Lato Regular" w:eastAsia="Times New Roman" w:hAnsi="Lato Regular"/>
                <w:sz w:val="20"/>
                <w:szCs w:val="20"/>
                <w:highlight w:val="yellow"/>
              </w:rPr>
            </w:pPr>
            <w:proofErr w:type="spellStart"/>
            <w:r w:rsidRPr="00BC456A">
              <w:rPr>
                <w:rFonts w:ascii="Lato Regular" w:eastAsia="Times New Roman" w:hAnsi="Lato Regular" w:cs="Times New Roman"/>
                <w:sz w:val="20"/>
                <w:szCs w:val="20"/>
              </w:rPr>
              <w:t>IA1</w:t>
            </w:r>
            <w:proofErr w:type="spellEnd"/>
            <w:r w:rsidRPr="00BC456A">
              <w:rPr>
                <w:rFonts w:ascii="Lato Regular" w:eastAsia="Times New Roman" w:hAnsi="Lato Regular" w:cs="Times New Roman"/>
                <w:sz w:val="20"/>
                <w:szCs w:val="20"/>
              </w:rPr>
              <w:t xml:space="preserve">. </w:t>
            </w:r>
            <w:r w:rsidRPr="00BC456A">
              <w:rPr>
                <w:rFonts w:ascii="Lato Regular" w:eastAsia="Times New Roman" w:hAnsi="Lato Regular"/>
                <w:sz w:val="20"/>
                <w:szCs w:val="20"/>
              </w:rPr>
              <w:t>Increased knowledge of SRHR as a human right, particularly amongst marginalised groups</w:t>
            </w:r>
          </w:p>
        </w:tc>
        <w:tc>
          <w:tcPr>
            <w:tcW w:w="265" w:type="pct"/>
            <w:shd w:val="clear" w:color="000000" w:fill="auto"/>
            <w:vAlign w:val="center"/>
          </w:tcPr>
          <w:p w14:paraId="2AFA0306" w14:textId="77777777" w:rsidR="005A1C0A" w:rsidRPr="00BC456A" w:rsidRDefault="005A1C0A" w:rsidP="00445A3E">
            <w:pPr>
              <w:spacing w:after="0"/>
              <w:jc w:val="center"/>
              <w:rPr>
                <w:rFonts w:ascii="Lato Regular" w:eastAsia="Times New Roman" w:hAnsi="Lato Regular" w:cs="Times New Roman"/>
                <w:sz w:val="20"/>
                <w:szCs w:val="20"/>
              </w:rPr>
            </w:pPr>
            <w:proofErr w:type="spellStart"/>
            <w:r>
              <w:rPr>
                <w:rFonts w:ascii="Lato Regular" w:eastAsia="Times New Roman" w:hAnsi="Lato Regular" w:cs="Times New Roman"/>
                <w:sz w:val="20"/>
                <w:szCs w:val="20"/>
              </w:rPr>
              <w:t>IA1.1</w:t>
            </w:r>
            <w:proofErr w:type="spellEnd"/>
          </w:p>
        </w:tc>
        <w:tc>
          <w:tcPr>
            <w:tcW w:w="3377" w:type="pct"/>
            <w:shd w:val="clear" w:color="000000" w:fill="auto"/>
            <w:vAlign w:val="center"/>
          </w:tcPr>
          <w:p w14:paraId="5452B620" w14:textId="77777777" w:rsidR="005A1C0A" w:rsidRPr="00BC456A" w:rsidRDefault="005A1C0A" w:rsidP="00445A3E">
            <w:pPr>
              <w:spacing w:after="0"/>
              <w:rPr>
                <w:rFonts w:ascii="Lato Regular" w:eastAsia="Times New Roman" w:hAnsi="Lato Regular" w:cs="Times New Roman"/>
                <w:sz w:val="20"/>
                <w:szCs w:val="20"/>
                <w:highlight w:val="yellow"/>
              </w:rPr>
            </w:pPr>
            <w:r>
              <w:rPr>
                <w:rFonts w:ascii="Lato Regular" w:eastAsia="Times New Roman" w:hAnsi="Lato Regular" w:cs="Times New Roman"/>
                <w:sz w:val="20"/>
                <w:szCs w:val="20"/>
                <w:highlight w:val="yellow"/>
              </w:rPr>
              <w:t xml:space="preserve"># of </w:t>
            </w:r>
            <w:r w:rsidRPr="00BC456A">
              <w:rPr>
                <w:rFonts w:ascii="Lato Regular" w:eastAsia="Times New Roman" w:hAnsi="Lato Regular" w:cs="Times New Roman"/>
                <w:sz w:val="20"/>
                <w:szCs w:val="20"/>
                <w:highlight w:val="yellow"/>
              </w:rPr>
              <w:t>individuals amongst marginalised groups reached by the program have increased awareness of SRHR as a human right</w:t>
            </w:r>
          </w:p>
        </w:tc>
      </w:tr>
      <w:tr w:rsidR="005A1C0A" w:rsidRPr="00BC456A" w14:paraId="06FDF4B6" w14:textId="77777777" w:rsidTr="00445A3E">
        <w:trPr>
          <w:trHeight w:val="20"/>
        </w:trPr>
        <w:tc>
          <w:tcPr>
            <w:tcW w:w="1358" w:type="pct"/>
            <w:shd w:val="clear" w:color="000000" w:fill="auto"/>
            <w:vAlign w:val="center"/>
            <w:hideMark/>
          </w:tcPr>
          <w:p w14:paraId="1E997ACD" w14:textId="77777777" w:rsidR="005A1C0A" w:rsidRPr="00BC456A" w:rsidRDefault="005A1C0A" w:rsidP="00445A3E">
            <w:pPr>
              <w:spacing w:after="0"/>
              <w:rPr>
                <w:rFonts w:ascii="Lato Regular" w:eastAsia="Times New Roman" w:hAnsi="Lato Regular" w:cs="Times New Roman"/>
                <w:sz w:val="20"/>
                <w:szCs w:val="20"/>
              </w:rPr>
            </w:pPr>
            <w:proofErr w:type="spellStart"/>
            <w:r w:rsidRPr="00BC456A">
              <w:rPr>
                <w:rFonts w:ascii="Lato Regular" w:eastAsia="Times New Roman" w:hAnsi="Lato Regular" w:cs="Times New Roman"/>
                <w:sz w:val="20"/>
                <w:szCs w:val="20"/>
              </w:rPr>
              <w:t>IA2</w:t>
            </w:r>
            <w:proofErr w:type="spellEnd"/>
            <w:r w:rsidRPr="00BC456A">
              <w:rPr>
                <w:rFonts w:ascii="Lato Regular" w:eastAsia="Times New Roman" w:hAnsi="Lato Regular" w:cs="Times New Roman"/>
                <w:sz w:val="20"/>
                <w:szCs w:val="20"/>
              </w:rPr>
              <w:t>. Individuals become empowered to claim their SRHR</w:t>
            </w:r>
          </w:p>
        </w:tc>
        <w:tc>
          <w:tcPr>
            <w:tcW w:w="265" w:type="pct"/>
            <w:shd w:val="clear" w:color="000000" w:fill="auto"/>
            <w:vAlign w:val="center"/>
            <w:hideMark/>
          </w:tcPr>
          <w:p w14:paraId="0108CDB0" w14:textId="77777777" w:rsidR="005A1C0A" w:rsidRPr="00BC456A" w:rsidRDefault="005A1C0A" w:rsidP="00445A3E">
            <w:pPr>
              <w:spacing w:after="0"/>
              <w:jc w:val="center"/>
              <w:rPr>
                <w:rFonts w:ascii="Lato Regular" w:eastAsia="Times New Roman" w:hAnsi="Lato Regular" w:cs="Times New Roman"/>
                <w:sz w:val="20"/>
                <w:szCs w:val="20"/>
              </w:rPr>
            </w:pPr>
            <w:proofErr w:type="spellStart"/>
            <w:r w:rsidRPr="00BC456A">
              <w:rPr>
                <w:rFonts w:ascii="Lato Regular" w:eastAsia="Times New Roman" w:hAnsi="Lato Regular" w:cs="Times New Roman"/>
                <w:sz w:val="20"/>
                <w:szCs w:val="20"/>
              </w:rPr>
              <w:t>IA2.1</w:t>
            </w:r>
            <w:proofErr w:type="spellEnd"/>
          </w:p>
        </w:tc>
        <w:tc>
          <w:tcPr>
            <w:tcW w:w="3377" w:type="pct"/>
            <w:shd w:val="clear" w:color="000000" w:fill="auto"/>
            <w:vAlign w:val="center"/>
            <w:hideMark/>
          </w:tcPr>
          <w:p w14:paraId="49C789CA" w14:textId="77777777" w:rsidR="005A1C0A" w:rsidRPr="00BC456A" w:rsidRDefault="005A1C0A" w:rsidP="00445A3E">
            <w:pPr>
              <w:spacing w:after="0"/>
              <w:rPr>
                <w:rFonts w:ascii="Lato Regular" w:eastAsia="Times New Roman" w:hAnsi="Lato Regular" w:cs="Times New Roman"/>
                <w:sz w:val="20"/>
                <w:szCs w:val="20"/>
              </w:rPr>
            </w:pPr>
            <w:r w:rsidRPr="00BC456A">
              <w:rPr>
                <w:rFonts w:ascii="Lato Regular" w:eastAsia="Times New Roman" w:hAnsi="Lato Regular" w:cs="Times New Roman"/>
                <w:sz w:val="20"/>
                <w:szCs w:val="20"/>
              </w:rPr>
              <w:t># of individuals reached by the program become empowered to claim their SRHR (e.g., reporting GBV cases, requesting services for the first time)</w:t>
            </w:r>
            <w:r w:rsidRPr="00BC456A">
              <w:rPr>
                <w:rFonts w:ascii="Lato Regular" w:eastAsia="Times New Roman" w:hAnsi="Lato Regular" w:cs="Times New Roman"/>
                <w:color w:val="FF0000"/>
                <w:sz w:val="20"/>
                <w:szCs w:val="20"/>
              </w:rPr>
              <w:t xml:space="preserve"> </w:t>
            </w:r>
          </w:p>
        </w:tc>
      </w:tr>
      <w:tr w:rsidR="005A1C0A" w:rsidRPr="00BC456A" w14:paraId="22E39483" w14:textId="77777777" w:rsidTr="00445A3E">
        <w:trPr>
          <w:trHeight w:val="20"/>
        </w:trPr>
        <w:tc>
          <w:tcPr>
            <w:tcW w:w="1358" w:type="pct"/>
            <w:shd w:val="clear" w:color="000000" w:fill="auto"/>
            <w:vAlign w:val="center"/>
          </w:tcPr>
          <w:p w14:paraId="57A19F64" w14:textId="77777777" w:rsidR="005A1C0A" w:rsidRPr="00BC456A" w:rsidRDefault="005A1C0A" w:rsidP="00445A3E">
            <w:pPr>
              <w:spacing w:after="0"/>
              <w:rPr>
                <w:rFonts w:ascii="Lato Regular" w:eastAsia="Times New Roman" w:hAnsi="Lato Regular" w:cs="Times New Roman"/>
                <w:sz w:val="20"/>
                <w:szCs w:val="20"/>
              </w:rPr>
            </w:pPr>
            <w:proofErr w:type="spellStart"/>
            <w:r w:rsidRPr="00BC456A">
              <w:rPr>
                <w:rFonts w:ascii="Lato Regular" w:eastAsia="Times New Roman" w:hAnsi="Lato Regular" w:cs="Times New Roman"/>
                <w:sz w:val="20"/>
                <w:szCs w:val="20"/>
              </w:rPr>
              <w:t>IA3</w:t>
            </w:r>
            <w:proofErr w:type="spellEnd"/>
            <w:r w:rsidRPr="00BC456A">
              <w:rPr>
                <w:rFonts w:ascii="Lato Regular" w:eastAsia="Times New Roman" w:hAnsi="Lato Regular" w:cs="Times New Roman"/>
                <w:sz w:val="20"/>
                <w:szCs w:val="20"/>
              </w:rPr>
              <w:t xml:space="preserve">. </w:t>
            </w:r>
            <w:r w:rsidRPr="00BC456A">
              <w:rPr>
                <w:rFonts w:ascii="Lato Regular" w:eastAsia="Times New Roman" w:hAnsi="Lato Regular"/>
                <w:sz w:val="20"/>
                <w:szCs w:val="20"/>
              </w:rPr>
              <w:t>Individuals increase their engagement in activism to advocate for SRHR, particularly from marginalised groups</w:t>
            </w:r>
          </w:p>
        </w:tc>
        <w:tc>
          <w:tcPr>
            <w:tcW w:w="265" w:type="pct"/>
            <w:shd w:val="clear" w:color="000000" w:fill="auto"/>
            <w:vAlign w:val="center"/>
          </w:tcPr>
          <w:p w14:paraId="6E6C9EC9" w14:textId="77777777" w:rsidR="005A1C0A" w:rsidRPr="00BC456A" w:rsidRDefault="005A1C0A" w:rsidP="00445A3E">
            <w:pPr>
              <w:spacing w:after="0"/>
              <w:jc w:val="center"/>
              <w:rPr>
                <w:rFonts w:ascii="Lato Regular" w:eastAsia="Times New Roman" w:hAnsi="Lato Regular" w:cs="Times New Roman"/>
                <w:sz w:val="20"/>
                <w:szCs w:val="20"/>
              </w:rPr>
            </w:pPr>
            <w:proofErr w:type="spellStart"/>
            <w:r>
              <w:rPr>
                <w:rFonts w:ascii="Lato Regular" w:eastAsia="Times New Roman" w:hAnsi="Lato Regular" w:cs="Times New Roman"/>
                <w:sz w:val="20"/>
                <w:szCs w:val="20"/>
              </w:rPr>
              <w:t>IA3.1</w:t>
            </w:r>
            <w:proofErr w:type="spellEnd"/>
          </w:p>
        </w:tc>
        <w:tc>
          <w:tcPr>
            <w:tcW w:w="3377" w:type="pct"/>
            <w:shd w:val="clear" w:color="000000" w:fill="auto"/>
            <w:vAlign w:val="center"/>
          </w:tcPr>
          <w:p w14:paraId="58146E98" w14:textId="77777777" w:rsidR="005A1C0A" w:rsidRPr="00BC456A" w:rsidRDefault="005A1C0A" w:rsidP="00445A3E">
            <w:pPr>
              <w:spacing w:after="0"/>
              <w:rPr>
                <w:rFonts w:ascii="Lato Regular" w:eastAsia="Times New Roman" w:hAnsi="Lato Regular" w:cs="Times New Roman"/>
                <w:sz w:val="20"/>
                <w:szCs w:val="20"/>
                <w:highlight w:val="yellow"/>
              </w:rPr>
            </w:pPr>
            <w:r w:rsidRPr="00BC456A">
              <w:rPr>
                <w:rFonts w:ascii="Lato Regular" w:eastAsia="Times New Roman" w:hAnsi="Lato Regular" w:cs="Times New Roman"/>
                <w:sz w:val="20"/>
                <w:szCs w:val="20"/>
                <w:highlight w:val="yellow"/>
              </w:rPr>
              <w:t># of individuals from marginalised groups reached by the program become active in advocating for SRHR</w:t>
            </w:r>
          </w:p>
        </w:tc>
      </w:tr>
    </w:tbl>
    <w:p w14:paraId="0FC53085" w14:textId="77777777" w:rsidR="005A1C0A" w:rsidRPr="00BC456A" w:rsidRDefault="005A1C0A" w:rsidP="005A1C0A">
      <w:pPr>
        <w:rPr>
          <w:rFonts w:ascii="Lato Regular" w:hAnsi="Lato Regular"/>
          <w:sz w:val="20"/>
          <w:szCs w:val="20"/>
        </w:rPr>
      </w:pPr>
    </w:p>
    <w:p w14:paraId="1AE32A5F" w14:textId="77777777" w:rsidR="005A1C0A" w:rsidRPr="0068711C" w:rsidRDefault="005A1C0A" w:rsidP="0068711C"/>
    <w:sectPr w:rsidR="005A1C0A" w:rsidRPr="0068711C" w:rsidSect="00DF31D4">
      <w:headerReference w:type="default" r:id="rId9"/>
      <w:footerReference w:type="default" r:id="rId10"/>
      <w:pgSz w:w="16838" w:h="11906" w:orient="landscape"/>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F10B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FB705" w14:textId="77777777" w:rsidR="00394768" w:rsidRDefault="00394768" w:rsidP="00C158C9">
      <w:pPr>
        <w:spacing w:after="0" w:line="240" w:lineRule="auto"/>
      </w:pPr>
      <w:r>
        <w:separator/>
      </w:r>
    </w:p>
  </w:endnote>
  <w:endnote w:type="continuationSeparator" w:id="0">
    <w:p w14:paraId="104DD0BB" w14:textId="77777777" w:rsidR="00394768" w:rsidRDefault="00394768" w:rsidP="00C15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ato Regular">
    <w:altName w:val="Calibri"/>
    <w:charset w:val="00"/>
    <w:family w:val="roman"/>
    <w:pitch w:val="default"/>
  </w:font>
  <w:font w:name="Lucida Grande">
    <w:altName w:val="Arial"/>
    <w:charset w:val="00"/>
    <w:family w:val="auto"/>
    <w:pitch w:val="variable"/>
    <w:sig w:usb0="E1000AEF" w:usb1="5000A1FF" w:usb2="00000000" w:usb3="00000000" w:csb0="000001BF" w:csb1="00000000"/>
  </w:font>
  <w:font w:name="Brandon Grotesque Regular">
    <w:altName w:val="Arial"/>
    <w:panose1 w:val="00000000000000000000"/>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288884"/>
      <w:docPartObj>
        <w:docPartGallery w:val="Page Numbers (Bottom of Page)"/>
        <w:docPartUnique/>
      </w:docPartObj>
    </w:sdtPr>
    <w:sdtEndPr>
      <w:rPr>
        <w:noProof/>
      </w:rPr>
    </w:sdtEndPr>
    <w:sdtContent>
      <w:p w14:paraId="269A78B0" w14:textId="3208ECBC" w:rsidR="00CC4622" w:rsidRDefault="00CC4622">
        <w:pPr>
          <w:pStyle w:val="Footer"/>
          <w:jc w:val="right"/>
        </w:pPr>
        <w:r>
          <w:fldChar w:fldCharType="begin"/>
        </w:r>
        <w:r>
          <w:instrText xml:space="preserve"> PAGE   \* MERGEFORMAT </w:instrText>
        </w:r>
        <w:r>
          <w:fldChar w:fldCharType="separate"/>
        </w:r>
        <w:r w:rsidR="00B63EF9">
          <w:rPr>
            <w:noProof/>
          </w:rPr>
          <w:t>1</w:t>
        </w:r>
        <w:r>
          <w:rPr>
            <w:noProof/>
          </w:rPr>
          <w:fldChar w:fldCharType="end"/>
        </w:r>
      </w:p>
    </w:sdtContent>
  </w:sdt>
  <w:p w14:paraId="0F14CA5D" w14:textId="77777777" w:rsidR="00754981" w:rsidRPr="00B3605D" w:rsidRDefault="00754981" w:rsidP="00B3605D">
    <w:pPr>
      <w:pStyle w:val="Footer"/>
      <w:jc w:val="center"/>
      <w:rPr>
        <w:rFonts w:ascii="Brandon Grotesque Regular" w:hAnsi="Brandon Grotesque Regul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CE231" w14:textId="77777777" w:rsidR="00394768" w:rsidRDefault="00394768" w:rsidP="00C158C9">
      <w:pPr>
        <w:spacing w:after="0" w:line="240" w:lineRule="auto"/>
      </w:pPr>
      <w:r>
        <w:separator/>
      </w:r>
    </w:p>
  </w:footnote>
  <w:footnote w:type="continuationSeparator" w:id="0">
    <w:p w14:paraId="7E3D8C56" w14:textId="77777777" w:rsidR="00394768" w:rsidRDefault="00394768" w:rsidP="00C158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7272E" w14:textId="77777777" w:rsidR="00754981" w:rsidRDefault="00754981" w:rsidP="00754981">
    <w:pPr>
      <w:pStyle w:val="Header"/>
      <w:jc w:val="center"/>
    </w:pPr>
    <w:r>
      <w:rPr>
        <w:noProof/>
        <w:lang w:eastAsia="en-GB"/>
      </w:rPr>
      <w:drawing>
        <wp:inline distT="0" distB="0" distL="0" distR="0" wp14:anchorId="59FAC869" wp14:editId="04E759A3">
          <wp:extent cx="1775012" cy="908548"/>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plify Change no tagline.png"/>
                  <pic:cNvPicPr/>
                </pic:nvPicPr>
                <pic:blipFill>
                  <a:blip r:embed="rId1">
                    <a:extLst>
                      <a:ext uri="{28A0092B-C50C-407E-A947-70E740481C1C}">
                        <a14:useLocalDpi xmlns:a14="http://schemas.microsoft.com/office/drawing/2010/main" val="0"/>
                      </a:ext>
                    </a:extLst>
                  </a:blip>
                  <a:stretch>
                    <a:fillRect/>
                  </a:stretch>
                </pic:blipFill>
                <pic:spPr>
                  <a:xfrm>
                    <a:off x="0" y="0"/>
                    <a:ext cx="1779890" cy="9110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A7B2F"/>
    <w:multiLevelType w:val="hybridMultilevel"/>
    <w:tmpl w:val="3D4E46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F44180"/>
    <w:multiLevelType w:val="hybridMultilevel"/>
    <w:tmpl w:val="2E4A2A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495E74"/>
    <w:multiLevelType w:val="hybridMultilevel"/>
    <w:tmpl w:val="F2D45B04"/>
    <w:lvl w:ilvl="0" w:tplc="C73286AC">
      <w:start w:val="4"/>
      <w:numFmt w:val="bullet"/>
      <w:lvlText w:val="-"/>
      <w:lvlJc w:val="left"/>
      <w:pPr>
        <w:ind w:left="720" w:hanging="360"/>
      </w:pPr>
      <w:rPr>
        <w:rFonts w:ascii="Lato" w:eastAsiaTheme="minorHAns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902C5C"/>
    <w:multiLevelType w:val="hybridMultilevel"/>
    <w:tmpl w:val="ED2EC5CA"/>
    <w:lvl w:ilvl="0" w:tplc="F176FC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8E44A8D"/>
    <w:multiLevelType w:val="hybridMultilevel"/>
    <w:tmpl w:val="84565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F17EA8"/>
    <w:multiLevelType w:val="hybridMultilevel"/>
    <w:tmpl w:val="02887D0E"/>
    <w:lvl w:ilvl="0" w:tplc="A732A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C16CB5"/>
    <w:multiLevelType w:val="hybridMultilevel"/>
    <w:tmpl w:val="CD3E5F56"/>
    <w:lvl w:ilvl="0" w:tplc="08090003">
      <w:start w:val="1"/>
      <w:numFmt w:val="bullet"/>
      <w:lvlText w:val="o"/>
      <w:lvlJc w:val="left"/>
      <w:pPr>
        <w:ind w:left="720" w:hanging="360"/>
      </w:pPr>
      <w:rPr>
        <w:rFonts w:ascii="Courier New" w:hAnsi="Courier New" w:cs="Courier New" w:hint="default"/>
      </w:rPr>
    </w:lvl>
    <w:lvl w:ilvl="1" w:tplc="E33AAD96">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7D5FA0"/>
    <w:multiLevelType w:val="hybridMultilevel"/>
    <w:tmpl w:val="C22CBD7E"/>
    <w:lvl w:ilvl="0" w:tplc="FB489286">
      <w:numFmt w:val="bullet"/>
      <w:lvlText w:val="-"/>
      <w:lvlJc w:val="left"/>
      <w:pPr>
        <w:ind w:left="720" w:hanging="360"/>
      </w:pPr>
      <w:rPr>
        <w:rFonts w:ascii="Lato" w:eastAsiaTheme="minorHAns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D160A08"/>
    <w:multiLevelType w:val="hybridMultilevel"/>
    <w:tmpl w:val="2BD88A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1"/>
  </w:num>
  <w:num w:numId="6">
    <w:abstractNumId w:val="8"/>
  </w:num>
  <w:num w:numId="7">
    <w:abstractNumId w:val="2"/>
  </w:num>
  <w:num w:numId="8">
    <w:abstractNumId w:val="7"/>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eytuna Azasoo">
    <w15:presenceInfo w15:providerId="AD" w15:userId="S-1-5-21-3882845892-2613333225-1506101529-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454"/>
    <w:rsid w:val="0000140C"/>
    <w:rsid w:val="000040E4"/>
    <w:rsid w:val="00004283"/>
    <w:rsid w:val="000065DE"/>
    <w:rsid w:val="00006836"/>
    <w:rsid w:val="0000765F"/>
    <w:rsid w:val="0001050D"/>
    <w:rsid w:val="00011976"/>
    <w:rsid w:val="0001285D"/>
    <w:rsid w:val="00012DEB"/>
    <w:rsid w:val="00013D6C"/>
    <w:rsid w:val="00015BD2"/>
    <w:rsid w:val="000207A0"/>
    <w:rsid w:val="0002175B"/>
    <w:rsid w:val="000221E8"/>
    <w:rsid w:val="0002585B"/>
    <w:rsid w:val="0002766B"/>
    <w:rsid w:val="00031437"/>
    <w:rsid w:val="0003214E"/>
    <w:rsid w:val="0003251A"/>
    <w:rsid w:val="0003298A"/>
    <w:rsid w:val="000331C6"/>
    <w:rsid w:val="00041AF7"/>
    <w:rsid w:val="000429F4"/>
    <w:rsid w:val="00045489"/>
    <w:rsid w:val="000455C4"/>
    <w:rsid w:val="0004575A"/>
    <w:rsid w:val="000475EA"/>
    <w:rsid w:val="00047C22"/>
    <w:rsid w:val="00051FB2"/>
    <w:rsid w:val="00055235"/>
    <w:rsid w:val="00055E02"/>
    <w:rsid w:val="000564CA"/>
    <w:rsid w:val="00062055"/>
    <w:rsid w:val="00062E02"/>
    <w:rsid w:val="00064E94"/>
    <w:rsid w:val="00066C51"/>
    <w:rsid w:val="00066F7C"/>
    <w:rsid w:val="000747DA"/>
    <w:rsid w:val="000828A4"/>
    <w:rsid w:val="00082DEB"/>
    <w:rsid w:val="000831CB"/>
    <w:rsid w:val="00084289"/>
    <w:rsid w:val="000851CF"/>
    <w:rsid w:val="00085B3D"/>
    <w:rsid w:val="00085BFE"/>
    <w:rsid w:val="000923C9"/>
    <w:rsid w:val="000926F4"/>
    <w:rsid w:val="00094D82"/>
    <w:rsid w:val="000A17F1"/>
    <w:rsid w:val="000A2A02"/>
    <w:rsid w:val="000A476E"/>
    <w:rsid w:val="000A7D41"/>
    <w:rsid w:val="000B4BB1"/>
    <w:rsid w:val="000B5A84"/>
    <w:rsid w:val="000C195A"/>
    <w:rsid w:val="000C3D5F"/>
    <w:rsid w:val="000C45D3"/>
    <w:rsid w:val="000C57D9"/>
    <w:rsid w:val="000D22CD"/>
    <w:rsid w:val="000D2BBC"/>
    <w:rsid w:val="000D4F6B"/>
    <w:rsid w:val="000E136F"/>
    <w:rsid w:val="000E13EB"/>
    <w:rsid w:val="000E285F"/>
    <w:rsid w:val="000E4186"/>
    <w:rsid w:val="000F0601"/>
    <w:rsid w:val="000F0D44"/>
    <w:rsid w:val="000F0D51"/>
    <w:rsid w:val="000F5509"/>
    <w:rsid w:val="000F5714"/>
    <w:rsid w:val="000F5F53"/>
    <w:rsid w:val="000F6525"/>
    <w:rsid w:val="00102ADF"/>
    <w:rsid w:val="00104E90"/>
    <w:rsid w:val="001065BE"/>
    <w:rsid w:val="00112E89"/>
    <w:rsid w:val="0011318A"/>
    <w:rsid w:val="001143B0"/>
    <w:rsid w:val="00117681"/>
    <w:rsid w:val="00122150"/>
    <w:rsid w:val="00132425"/>
    <w:rsid w:val="00135EB9"/>
    <w:rsid w:val="00135FEF"/>
    <w:rsid w:val="00136073"/>
    <w:rsid w:val="001369E8"/>
    <w:rsid w:val="001375EA"/>
    <w:rsid w:val="00140E31"/>
    <w:rsid w:val="001411B2"/>
    <w:rsid w:val="001450EA"/>
    <w:rsid w:val="0014603C"/>
    <w:rsid w:val="0015165F"/>
    <w:rsid w:val="0015237E"/>
    <w:rsid w:val="00152919"/>
    <w:rsid w:val="0015461D"/>
    <w:rsid w:val="00156335"/>
    <w:rsid w:val="00160AFE"/>
    <w:rsid w:val="0016158E"/>
    <w:rsid w:val="0016208E"/>
    <w:rsid w:val="001626B0"/>
    <w:rsid w:val="00162AC3"/>
    <w:rsid w:val="00165E91"/>
    <w:rsid w:val="00167894"/>
    <w:rsid w:val="001678E7"/>
    <w:rsid w:val="00171302"/>
    <w:rsid w:val="00171650"/>
    <w:rsid w:val="00172A93"/>
    <w:rsid w:val="00175FA4"/>
    <w:rsid w:val="001766AA"/>
    <w:rsid w:val="00177283"/>
    <w:rsid w:val="00181AA7"/>
    <w:rsid w:val="00182812"/>
    <w:rsid w:val="00184217"/>
    <w:rsid w:val="00186132"/>
    <w:rsid w:val="00190F4F"/>
    <w:rsid w:val="001962F3"/>
    <w:rsid w:val="00196EB5"/>
    <w:rsid w:val="001975CF"/>
    <w:rsid w:val="001A29DC"/>
    <w:rsid w:val="001A4329"/>
    <w:rsid w:val="001A616D"/>
    <w:rsid w:val="001A6F2B"/>
    <w:rsid w:val="001A772C"/>
    <w:rsid w:val="001A794C"/>
    <w:rsid w:val="001B078A"/>
    <w:rsid w:val="001B1300"/>
    <w:rsid w:val="001B250B"/>
    <w:rsid w:val="001B4C18"/>
    <w:rsid w:val="001C3F7D"/>
    <w:rsid w:val="001C5559"/>
    <w:rsid w:val="001C7765"/>
    <w:rsid w:val="001D105D"/>
    <w:rsid w:val="001D2B3B"/>
    <w:rsid w:val="001D33C0"/>
    <w:rsid w:val="001D5461"/>
    <w:rsid w:val="001D6AFA"/>
    <w:rsid w:val="001E09C3"/>
    <w:rsid w:val="001E1B45"/>
    <w:rsid w:val="001E6BB6"/>
    <w:rsid w:val="001F3C3F"/>
    <w:rsid w:val="001F4919"/>
    <w:rsid w:val="001F583C"/>
    <w:rsid w:val="001F5951"/>
    <w:rsid w:val="001F7A39"/>
    <w:rsid w:val="002032E6"/>
    <w:rsid w:val="002033AD"/>
    <w:rsid w:val="00205C4F"/>
    <w:rsid w:val="002068B9"/>
    <w:rsid w:val="00211A26"/>
    <w:rsid w:val="00214811"/>
    <w:rsid w:val="002152F4"/>
    <w:rsid w:val="0022082F"/>
    <w:rsid w:val="00227461"/>
    <w:rsid w:val="0023598A"/>
    <w:rsid w:val="00236E4D"/>
    <w:rsid w:val="00237F0C"/>
    <w:rsid w:val="002401AF"/>
    <w:rsid w:val="002409AD"/>
    <w:rsid w:val="00241006"/>
    <w:rsid w:val="002444F3"/>
    <w:rsid w:val="00253D18"/>
    <w:rsid w:val="00255F1E"/>
    <w:rsid w:val="00256497"/>
    <w:rsid w:val="00265E6E"/>
    <w:rsid w:val="002668E9"/>
    <w:rsid w:val="00272F26"/>
    <w:rsid w:val="00276E69"/>
    <w:rsid w:val="00276F78"/>
    <w:rsid w:val="002770D1"/>
    <w:rsid w:val="002849AB"/>
    <w:rsid w:val="00285D2F"/>
    <w:rsid w:val="00291F6B"/>
    <w:rsid w:val="00295AEA"/>
    <w:rsid w:val="00296D70"/>
    <w:rsid w:val="002A16D4"/>
    <w:rsid w:val="002A3711"/>
    <w:rsid w:val="002A5F7B"/>
    <w:rsid w:val="002A6402"/>
    <w:rsid w:val="002A6A0A"/>
    <w:rsid w:val="002A7C21"/>
    <w:rsid w:val="002B0A44"/>
    <w:rsid w:val="002B1943"/>
    <w:rsid w:val="002B2115"/>
    <w:rsid w:val="002B67A2"/>
    <w:rsid w:val="002B7DD3"/>
    <w:rsid w:val="002C1DA7"/>
    <w:rsid w:val="002C3617"/>
    <w:rsid w:val="002C7C32"/>
    <w:rsid w:val="002D2CBE"/>
    <w:rsid w:val="002D32E6"/>
    <w:rsid w:val="002D448C"/>
    <w:rsid w:val="002D522F"/>
    <w:rsid w:val="002F034A"/>
    <w:rsid w:val="002F21A3"/>
    <w:rsid w:val="002F2545"/>
    <w:rsid w:val="002F4C89"/>
    <w:rsid w:val="002F4FC0"/>
    <w:rsid w:val="00302F0B"/>
    <w:rsid w:val="00305A0D"/>
    <w:rsid w:val="003107D8"/>
    <w:rsid w:val="0031147A"/>
    <w:rsid w:val="00312AC0"/>
    <w:rsid w:val="003166B1"/>
    <w:rsid w:val="00316CCF"/>
    <w:rsid w:val="00322043"/>
    <w:rsid w:val="00322088"/>
    <w:rsid w:val="00322560"/>
    <w:rsid w:val="00330C53"/>
    <w:rsid w:val="00330F4B"/>
    <w:rsid w:val="00331082"/>
    <w:rsid w:val="00331EAE"/>
    <w:rsid w:val="00332312"/>
    <w:rsid w:val="003453FA"/>
    <w:rsid w:val="00347293"/>
    <w:rsid w:val="0034787F"/>
    <w:rsid w:val="003507A9"/>
    <w:rsid w:val="00350D84"/>
    <w:rsid w:val="00351A32"/>
    <w:rsid w:val="0035252A"/>
    <w:rsid w:val="00352CB8"/>
    <w:rsid w:val="003569B6"/>
    <w:rsid w:val="0036015C"/>
    <w:rsid w:val="00360D65"/>
    <w:rsid w:val="003625A3"/>
    <w:rsid w:val="00362A50"/>
    <w:rsid w:val="003638E1"/>
    <w:rsid w:val="00363D12"/>
    <w:rsid w:val="0036783B"/>
    <w:rsid w:val="00373EB9"/>
    <w:rsid w:val="0037472C"/>
    <w:rsid w:val="003779B1"/>
    <w:rsid w:val="00381C55"/>
    <w:rsid w:val="003821A1"/>
    <w:rsid w:val="00382DEF"/>
    <w:rsid w:val="00383494"/>
    <w:rsid w:val="0038377C"/>
    <w:rsid w:val="003841B7"/>
    <w:rsid w:val="00384327"/>
    <w:rsid w:val="00385454"/>
    <w:rsid w:val="00386781"/>
    <w:rsid w:val="00392E92"/>
    <w:rsid w:val="00394733"/>
    <w:rsid w:val="00394768"/>
    <w:rsid w:val="003A4E46"/>
    <w:rsid w:val="003A4FB6"/>
    <w:rsid w:val="003B0E64"/>
    <w:rsid w:val="003B4346"/>
    <w:rsid w:val="003B7BFF"/>
    <w:rsid w:val="003C1A23"/>
    <w:rsid w:val="003C3F4C"/>
    <w:rsid w:val="003C5819"/>
    <w:rsid w:val="003C7F7B"/>
    <w:rsid w:val="003D13B3"/>
    <w:rsid w:val="003D49AA"/>
    <w:rsid w:val="003E0BC8"/>
    <w:rsid w:val="003E1AF6"/>
    <w:rsid w:val="003E1BC8"/>
    <w:rsid w:val="003E4D5A"/>
    <w:rsid w:val="003E5452"/>
    <w:rsid w:val="003F2643"/>
    <w:rsid w:val="003F36FB"/>
    <w:rsid w:val="003F3B85"/>
    <w:rsid w:val="003F441C"/>
    <w:rsid w:val="003F4CE0"/>
    <w:rsid w:val="003F5DDE"/>
    <w:rsid w:val="003F6414"/>
    <w:rsid w:val="003F6420"/>
    <w:rsid w:val="004014E2"/>
    <w:rsid w:val="004026C7"/>
    <w:rsid w:val="0040418C"/>
    <w:rsid w:val="00405AE9"/>
    <w:rsid w:val="00406093"/>
    <w:rsid w:val="00410A2F"/>
    <w:rsid w:val="00411061"/>
    <w:rsid w:val="004113CA"/>
    <w:rsid w:val="00412E5D"/>
    <w:rsid w:val="00414B66"/>
    <w:rsid w:val="00415C43"/>
    <w:rsid w:val="00417948"/>
    <w:rsid w:val="0042062E"/>
    <w:rsid w:val="0042636F"/>
    <w:rsid w:val="00430E95"/>
    <w:rsid w:val="0043111F"/>
    <w:rsid w:val="0043361F"/>
    <w:rsid w:val="00433AA9"/>
    <w:rsid w:val="00433BC0"/>
    <w:rsid w:val="00435041"/>
    <w:rsid w:val="00435349"/>
    <w:rsid w:val="004363D9"/>
    <w:rsid w:val="0043793D"/>
    <w:rsid w:val="00441576"/>
    <w:rsid w:val="0044302C"/>
    <w:rsid w:val="004460B9"/>
    <w:rsid w:val="00446FD9"/>
    <w:rsid w:val="00452398"/>
    <w:rsid w:val="004527B8"/>
    <w:rsid w:val="00462860"/>
    <w:rsid w:val="00462FA2"/>
    <w:rsid w:val="00464D89"/>
    <w:rsid w:val="00465AEB"/>
    <w:rsid w:val="004662DE"/>
    <w:rsid w:val="00470351"/>
    <w:rsid w:val="00476B36"/>
    <w:rsid w:val="00484DD8"/>
    <w:rsid w:val="004852A2"/>
    <w:rsid w:val="00485CF0"/>
    <w:rsid w:val="00486928"/>
    <w:rsid w:val="0048764C"/>
    <w:rsid w:val="00494423"/>
    <w:rsid w:val="004954AD"/>
    <w:rsid w:val="004961AF"/>
    <w:rsid w:val="004A02B2"/>
    <w:rsid w:val="004A1C71"/>
    <w:rsid w:val="004A2CB6"/>
    <w:rsid w:val="004A365D"/>
    <w:rsid w:val="004A3F4E"/>
    <w:rsid w:val="004A4AAC"/>
    <w:rsid w:val="004A54AE"/>
    <w:rsid w:val="004A6930"/>
    <w:rsid w:val="004B046B"/>
    <w:rsid w:val="004B15A6"/>
    <w:rsid w:val="004B2CCD"/>
    <w:rsid w:val="004B5BFA"/>
    <w:rsid w:val="004B72AA"/>
    <w:rsid w:val="004C22CD"/>
    <w:rsid w:val="004C3013"/>
    <w:rsid w:val="004C65D6"/>
    <w:rsid w:val="004C6BE5"/>
    <w:rsid w:val="004D0861"/>
    <w:rsid w:val="004D1694"/>
    <w:rsid w:val="004D30D6"/>
    <w:rsid w:val="004D6917"/>
    <w:rsid w:val="004E75C5"/>
    <w:rsid w:val="004F187E"/>
    <w:rsid w:val="004F1AD3"/>
    <w:rsid w:val="004F2B63"/>
    <w:rsid w:val="004F7843"/>
    <w:rsid w:val="00503911"/>
    <w:rsid w:val="00504FEE"/>
    <w:rsid w:val="00506689"/>
    <w:rsid w:val="00506BC6"/>
    <w:rsid w:val="00506F2E"/>
    <w:rsid w:val="005075F0"/>
    <w:rsid w:val="00512064"/>
    <w:rsid w:val="005128D4"/>
    <w:rsid w:val="00513140"/>
    <w:rsid w:val="00515CF4"/>
    <w:rsid w:val="00516632"/>
    <w:rsid w:val="005174DF"/>
    <w:rsid w:val="00525EB3"/>
    <w:rsid w:val="0052736F"/>
    <w:rsid w:val="00527884"/>
    <w:rsid w:val="00527E02"/>
    <w:rsid w:val="005304C0"/>
    <w:rsid w:val="00530D14"/>
    <w:rsid w:val="00533DD8"/>
    <w:rsid w:val="005374A3"/>
    <w:rsid w:val="005404CF"/>
    <w:rsid w:val="00541046"/>
    <w:rsid w:val="005449AA"/>
    <w:rsid w:val="005475FF"/>
    <w:rsid w:val="00561BCE"/>
    <w:rsid w:val="005629D4"/>
    <w:rsid w:val="00567254"/>
    <w:rsid w:val="00570201"/>
    <w:rsid w:val="00570EC1"/>
    <w:rsid w:val="005735E4"/>
    <w:rsid w:val="005736EA"/>
    <w:rsid w:val="00573B66"/>
    <w:rsid w:val="00573CBD"/>
    <w:rsid w:val="00574E84"/>
    <w:rsid w:val="00577A38"/>
    <w:rsid w:val="00585F72"/>
    <w:rsid w:val="0058674A"/>
    <w:rsid w:val="00586A73"/>
    <w:rsid w:val="00587A8E"/>
    <w:rsid w:val="00592DDB"/>
    <w:rsid w:val="0059345B"/>
    <w:rsid w:val="00595E12"/>
    <w:rsid w:val="00596A2B"/>
    <w:rsid w:val="00597551"/>
    <w:rsid w:val="005A03F9"/>
    <w:rsid w:val="005A1C0A"/>
    <w:rsid w:val="005A396E"/>
    <w:rsid w:val="005A575F"/>
    <w:rsid w:val="005A6D46"/>
    <w:rsid w:val="005B2959"/>
    <w:rsid w:val="005B3BDD"/>
    <w:rsid w:val="005B4634"/>
    <w:rsid w:val="005B5550"/>
    <w:rsid w:val="005C04FB"/>
    <w:rsid w:val="005C1B7C"/>
    <w:rsid w:val="005C3BE5"/>
    <w:rsid w:val="005C3C2C"/>
    <w:rsid w:val="005C533C"/>
    <w:rsid w:val="005D359C"/>
    <w:rsid w:val="005D3FE2"/>
    <w:rsid w:val="005D70CC"/>
    <w:rsid w:val="005E01AC"/>
    <w:rsid w:val="005E1389"/>
    <w:rsid w:val="005E18B6"/>
    <w:rsid w:val="005E1BBC"/>
    <w:rsid w:val="005E4A83"/>
    <w:rsid w:val="005E744D"/>
    <w:rsid w:val="005E7823"/>
    <w:rsid w:val="005F0494"/>
    <w:rsid w:val="005F19B9"/>
    <w:rsid w:val="005F1E90"/>
    <w:rsid w:val="005F287E"/>
    <w:rsid w:val="005F4916"/>
    <w:rsid w:val="005F4AE7"/>
    <w:rsid w:val="005F590E"/>
    <w:rsid w:val="005F7876"/>
    <w:rsid w:val="00600DE1"/>
    <w:rsid w:val="00600F4A"/>
    <w:rsid w:val="00601E84"/>
    <w:rsid w:val="006070F2"/>
    <w:rsid w:val="00612C30"/>
    <w:rsid w:val="00612F59"/>
    <w:rsid w:val="00616BE5"/>
    <w:rsid w:val="00621A80"/>
    <w:rsid w:val="00625B2C"/>
    <w:rsid w:val="00626E35"/>
    <w:rsid w:val="006304FC"/>
    <w:rsid w:val="00632B93"/>
    <w:rsid w:val="00635BFB"/>
    <w:rsid w:val="0063760E"/>
    <w:rsid w:val="0064016B"/>
    <w:rsid w:val="00640AC9"/>
    <w:rsid w:val="00643F42"/>
    <w:rsid w:val="0065778E"/>
    <w:rsid w:val="00671ED4"/>
    <w:rsid w:val="00675FB9"/>
    <w:rsid w:val="00680C2F"/>
    <w:rsid w:val="00683275"/>
    <w:rsid w:val="0068711C"/>
    <w:rsid w:val="00691B5E"/>
    <w:rsid w:val="00695B9A"/>
    <w:rsid w:val="006A1A77"/>
    <w:rsid w:val="006A2098"/>
    <w:rsid w:val="006A2EAC"/>
    <w:rsid w:val="006A543D"/>
    <w:rsid w:val="006A766F"/>
    <w:rsid w:val="006A7784"/>
    <w:rsid w:val="006A7C2E"/>
    <w:rsid w:val="006C2D3F"/>
    <w:rsid w:val="006C2FE0"/>
    <w:rsid w:val="006C51D3"/>
    <w:rsid w:val="006D7828"/>
    <w:rsid w:val="006D792A"/>
    <w:rsid w:val="006D7E82"/>
    <w:rsid w:val="006E0392"/>
    <w:rsid w:val="006E1E44"/>
    <w:rsid w:val="006E2C11"/>
    <w:rsid w:val="006E5844"/>
    <w:rsid w:val="006E70D9"/>
    <w:rsid w:val="006F2AB8"/>
    <w:rsid w:val="006F6434"/>
    <w:rsid w:val="006F7DE0"/>
    <w:rsid w:val="006F7F85"/>
    <w:rsid w:val="00700D12"/>
    <w:rsid w:val="007020CF"/>
    <w:rsid w:val="007061D9"/>
    <w:rsid w:val="00706A80"/>
    <w:rsid w:val="007116F9"/>
    <w:rsid w:val="00715BAD"/>
    <w:rsid w:val="00717B6B"/>
    <w:rsid w:val="0072004B"/>
    <w:rsid w:val="00720858"/>
    <w:rsid w:val="00720C0F"/>
    <w:rsid w:val="0072184E"/>
    <w:rsid w:val="00724834"/>
    <w:rsid w:val="00727D8D"/>
    <w:rsid w:val="00736422"/>
    <w:rsid w:val="00737B17"/>
    <w:rsid w:val="00741088"/>
    <w:rsid w:val="00743452"/>
    <w:rsid w:val="00750747"/>
    <w:rsid w:val="00750AFC"/>
    <w:rsid w:val="00752BD4"/>
    <w:rsid w:val="00753421"/>
    <w:rsid w:val="00754981"/>
    <w:rsid w:val="007559F7"/>
    <w:rsid w:val="00755B76"/>
    <w:rsid w:val="00756A81"/>
    <w:rsid w:val="00757955"/>
    <w:rsid w:val="00760524"/>
    <w:rsid w:val="00760B8F"/>
    <w:rsid w:val="007612A6"/>
    <w:rsid w:val="00761868"/>
    <w:rsid w:val="00762912"/>
    <w:rsid w:val="00764A5E"/>
    <w:rsid w:val="00770D41"/>
    <w:rsid w:val="00770F33"/>
    <w:rsid w:val="00774DE3"/>
    <w:rsid w:val="007773D5"/>
    <w:rsid w:val="007805B7"/>
    <w:rsid w:val="007817BB"/>
    <w:rsid w:val="00782479"/>
    <w:rsid w:val="0078314D"/>
    <w:rsid w:val="0078327D"/>
    <w:rsid w:val="00785888"/>
    <w:rsid w:val="00786351"/>
    <w:rsid w:val="0078720C"/>
    <w:rsid w:val="00791D6B"/>
    <w:rsid w:val="007A1882"/>
    <w:rsid w:val="007A6407"/>
    <w:rsid w:val="007B0A2E"/>
    <w:rsid w:val="007B5C51"/>
    <w:rsid w:val="007B6736"/>
    <w:rsid w:val="007C0A7D"/>
    <w:rsid w:val="007C13BF"/>
    <w:rsid w:val="007C2732"/>
    <w:rsid w:val="007C3125"/>
    <w:rsid w:val="007C38AC"/>
    <w:rsid w:val="007C398D"/>
    <w:rsid w:val="007D3227"/>
    <w:rsid w:val="007D3F81"/>
    <w:rsid w:val="007E0C89"/>
    <w:rsid w:val="007E4DA9"/>
    <w:rsid w:val="007E4EE3"/>
    <w:rsid w:val="007F0564"/>
    <w:rsid w:val="007F0E62"/>
    <w:rsid w:val="007F1798"/>
    <w:rsid w:val="00801541"/>
    <w:rsid w:val="008022BA"/>
    <w:rsid w:val="008068BE"/>
    <w:rsid w:val="00807B57"/>
    <w:rsid w:val="00815B1E"/>
    <w:rsid w:val="00816C99"/>
    <w:rsid w:val="00816D7D"/>
    <w:rsid w:val="00821386"/>
    <w:rsid w:val="00821563"/>
    <w:rsid w:val="008226C9"/>
    <w:rsid w:val="00823FB8"/>
    <w:rsid w:val="00825B7B"/>
    <w:rsid w:val="008306D8"/>
    <w:rsid w:val="00831209"/>
    <w:rsid w:val="00831295"/>
    <w:rsid w:val="00831C93"/>
    <w:rsid w:val="00832ADF"/>
    <w:rsid w:val="008351FD"/>
    <w:rsid w:val="00837ADE"/>
    <w:rsid w:val="0084079F"/>
    <w:rsid w:val="00840849"/>
    <w:rsid w:val="00842C64"/>
    <w:rsid w:val="00846A64"/>
    <w:rsid w:val="00850E16"/>
    <w:rsid w:val="0085791C"/>
    <w:rsid w:val="00863C81"/>
    <w:rsid w:val="00867A99"/>
    <w:rsid w:val="00867CD9"/>
    <w:rsid w:val="008714E5"/>
    <w:rsid w:val="0087286E"/>
    <w:rsid w:val="008736F1"/>
    <w:rsid w:val="008749DC"/>
    <w:rsid w:val="00875B31"/>
    <w:rsid w:val="00882B3F"/>
    <w:rsid w:val="00886A3D"/>
    <w:rsid w:val="008874AA"/>
    <w:rsid w:val="008905F9"/>
    <w:rsid w:val="008938EB"/>
    <w:rsid w:val="0089578D"/>
    <w:rsid w:val="008B0937"/>
    <w:rsid w:val="008B15F1"/>
    <w:rsid w:val="008B2CB5"/>
    <w:rsid w:val="008B4F37"/>
    <w:rsid w:val="008B6418"/>
    <w:rsid w:val="008B73F9"/>
    <w:rsid w:val="008B75C3"/>
    <w:rsid w:val="008C0BBC"/>
    <w:rsid w:val="008C276D"/>
    <w:rsid w:val="008C329D"/>
    <w:rsid w:val="008C3985"/>
    <w:rsid w:val="008C468C"/>
    <w:rsid w:val="008C538F"/>
    <w:rsid w:val="008C63C9"/>
    <w:rsid w:val="008D2457"/>
    <w:rsid w:val="008D3212"/>
    <w:rsid w:val="008E06FF"/>
    <w:rsid w:val="008E3B60"/>
    <w:rsid w:val="008E5534"/>
    <w:rsid w:val="008F1252"/>
    <w:rsid w:val="008F2744"/>
    <w:rsid w:val="008F41FF"/>
    <w:rsid w:val="008F46F5"/>
    <w:rsid w:val="008F4A12"/>
    <w:rsid w:val="00904CA9"/>
    <w:rsid w:val="00905FF4"/>
    <w:rsid w:val="00906205"/>
    <w:rsid w:val="0090732A"/>
    <w:rsid w:val="00911907"/>
    <w:rsid w:val="00913023"/>
    <w:rsid w:val="00913744"/>
    <w:rsid w:val="009138D2"/>
    <w:rsid w:val="0092149A"/>
    <w:rsid w:val="009252CA"/>
    <w:rsid w:val="00926898"/>
    <w:rsid w:val="00927F65"/>
    <w:rsid w:val="00933588"/>
    <w:rsid w:val="00935347"/>
    <w:rsid w:val="009367C0"/>
    <w:rsid w:val="0094307C"/>
    <w:rsid w:val="00943158"/>
    <w:rsid w:val="00943228"/>
    <w:rsid w:val="00957227"/>
    <w:rsid w:val="009575B4"/>
    <w:rsid w:val="00960242"/>
    <w:rsid w:val="00960D7F"/>
    <w:rsid w:val="00965425"/>
    <w:rsid w:val="009674B2"/>
    <w:rsid w:val="0096779A"/>
    <w:rsid w:val="00967BAD"/>
    <w:rsid w:val="00970F0E"/>
    <w:rsid w:val="00971273"/>
    <w:rsid w:val="0097172D"/>
    <w:rsid w:val="00972612"/>
    <w:rsid w:val="00972E19"/>
    <w:rsid w:val="009804FB"/>
    <w:rsid w:val="00980B85"/>
    <w:rsid w:val="00983956"/>
    <w:rsid w:val="00985138"/>
    <w:rsid w:val="00986FD1"/>
    <w:rsid w:val="009A0CFB"/>
    <w:rsid w:val="009A21FF"/>
    <w:rsid w:val="009A6994"/>
    <w:rsid w:val="009A7AC0"/>
    <w:rsid w:val="009B0737"/>
    <w:rsid w:val="009C0C39"/>
    <w:rsid w:val="009C1D20"/>
    <w:rsid w:val="009C22F5"/>
    <w:rsid w:val="009C37C3"/>
    <w:rsid w:val="009D08A9"/>
    <w:rsid w:val="009D13D6"/>
    <w:rsid w:val="009D1A28"/>
    <w:rsid w:val="009D1C93"/>
    <w:rsid w:val="009D32D1"/>
    <w:rsid w:val="009D3D8B"/>
    <w:rsid w:val="009D5B25"/>
    <w:rsid w:val="009D635B"/>
    <w:rsid w:val="009D700A"/>
    <w:rsid w:val="009D711B"/>
    <w:rsid w:val="009E1229"/>
    <w:rsid w:val="009E355C"/>
    <w:rsid w:val="009E3BD0"/>
    <w:rsid w:val="009E3C01"/>
    <w:rsid w:val="009F0323"/>
    <w:rsid w:val="009F38B8"/>
    <w:rsid w:val="009F4906"/>
    <w:rsid w:val="009F5551"/>
    <w:rsid w:val="009F5562"/>
    <w:rsid w:val="00A00E83"/>
    <w:rsid w:val="00A013F0"/>
    <w:rsid w:val="00A026D7"/>
    <w:rsid w:val="00A02E82"/>
    <w:rsid w:val="00A0433C"/>
    <w:rsid w:val="00A04F3D"/>
    <w:rsid w:val="00A05CAC"/>
    <w:rsid w:val="00A06C0F"/>
    <w:rsid w:val="00A0793C"/>
    <w:rsid w:val="00A10D04"/>
    <w:rsid w:val="00A11069"/>
    <w:rsid w:val="00A12863"/>
    <w:rsid w:val="00A13BD9"/>
    <w:rsid w:val="00A15919"/>
    <w:rsid w:val="00A1624F"/>
    <w:rsid w:val="00A21C03"/>
    <w:rsid w:val="00A23910"/>
    <w:rsid w:val="00A2391F"/>
    <w:rsid w:val="00A25B08"/>
    <w:rsid w:val="00A272D6"/>
    <w:rsid w:val="00A33BE6"/>
    <w:rsid w:val="00A33DE7"/>
    <w:rsid w:val="00A347B6"/>
    <w:rsid w:val="00A3490D"/>
    <w:rsid w:val="00A34FCC"/>
    <w:rsid w:val="00A3682C"/>
    <w:rsid w:val="00A36F99"/>
    <w:rsid w:val="00A415A6"/>
    <w:rsid w:val="00A41C2A"/>
    <w:rsid w:val="00A45B2D"/>
    <w:rsid w:val="00A45CA4"/>
    <w:rsid w:val="00A50986"/>
    <w:rsid w:val="00A52949"/>
    <w:rsid w:val="00A53EF6"/>
    <w:rsid w:val="00A57209"/>
    <w:rsid w:val="00A623B2"/>
    <w:rsid w:val="00A65266"/>
    <w:rsid w:val="00A656F2"/>
    <w:rsid w:val="00A65E39"/>
    <w:rsid w:val="00A7165C"/>
    <w:rsid w:val="00A72433"/>
    <w:rsid w:val="00A736B6"/>
    <w:rsid w:val="00A73C30"/>
    <w:rsid w:val="00A740A1"/>
    <w:rsid w:val="00A74EA3"/>
    <w:rsid w:val="00A77E6E"/>
    <w:rsid w:val="00A812FC"/>
    <w:rsid w:val="00A81A2C"/>
    <w:rsid w:val="00A841AF"/>
    <w:rsid w:val="00AA1A7E"/>
    <w:rsid w:val="00AA3F3C"/>
    <w:rsid w:val="00AB73F6"/>
    <w:rsid w:val="00AB7F69"/>
    <w:rsid w:val="00AC17B8"/>
    <w:rsid w:val="00AC2048"/>
    <w:rsid w:val="00AC3CAB"/>
    <w:rsid w:val="00AC630C"/>
    <w:rsid w:val="00AC6FA6"/>
    <w:rsid w:val="00AD13E6"/>
    <w:rsid w:val="00AD144A"/>
    <w:rsid w:val="00AE367D"/>
    <w:rsid w:val="00AE595F"/>
    <w:rsid w:val="00AF61B1"/>
    <w:rsid w:val="00B01A5F"/>
    <w:rsid w:val="00B02243"/>
    <w:rsid w:val="00B0467A"/>
    <w:rsid w:val="00B1334B"/>
    <w:rsid w:val="00B14ECC"/>
    <w:rsid w:val="00B15162"/>
    <w:rsid w:val="00B1543D"/>
    <w:rsid w:val="00B20209"/>
    <w:rsid w:val="00B20567"/>
    <w:rsid w:val="00B23EF7"/>
    <w:rsid w:val="00B27DBE"/>
    <w:rsid w:val="00B30879"/>
    <w:rsid w:val="00B3605D"/>
    <w:rsid w:val="00B36B8D"/>
    <w:rsid w:val="00B45FE2"/>
    <w:rsid w:val="00B50ECA"/>
    <w:rsid w:val="00B53328"/>
    <w:rsid w:val="00B5601E"/>
    <w:rsid w:val="00B60309"/>
    <w:rsid w:val="00B610C5"/>
    <w:rsid w:val="00B626BB"/>
    <w:rsid w:val="00B63EF9"/>
    <w:rsid w:val="00B67884"/>
    <w:rsid w:val="00B70792"/>
    <w:rsid w:val="00B75115"/>
    <w:rsid w:val="00B77896"/>
    <w:rsid w:val="00B82AB1"/>
    <w:rsid w:val="00B82E0C"/>
    <w:rsid w:val="00B8480C"/>
    <w:rsid w:val="00B91F05"/>
    <w:rsid w:val="00B92A75"/>
    <w:rsid w:val="00B92C25"/>
    <w:rsid w:val="00B92F98"/>
    <w:rsid w:val="00B93513"/>
    <w:rsid w:val="00B94BBF"/>
    <w:rsid w:val="00BA27CB"/>
    <w:rsid w:val="00BA35A9"/>
    <w:rsid w:val="00BA5EB4"/>
    <w:rsid w:val="00BA6FDB"/>
    <w:rsid w:val="00BB0F75"/>
    <w:rsid w:val="00BB47DC"/>
    <w:rsid w:val="00BB4ACD"/>
    <w:rsid w:val="00BB7A68"/>
    <w:rsid w:val="00BC1BDA"/>
    <w:rsid w:val="00BC1F16"/>
    <w:rsid w:val="00BC3951"/>
    <w:rsid w:val="00BC3A58"/>
    <w:rsid w:val="00BC55E8"/>
    <w:rsid w:val="00BC5BEF"/>
    <w:rsid w:val="00BD23C0"/>
    <w:rsid w:val="00BD29AA"/>
    <w:rsid w:val="00BD3648"/>
    <w:rsid w:val="00BD69FA"/>
    <w:rsid w:val="00BE0516"/>
    <w:rsid w:val="00BE1BFC"/>
    <w:rsid w:val="00BE23F4"/>
    <w:rsid w:val="00BE36BE"/>
    <w:rsid w:val="00BE4212"/>
    <w:rsid w:val="00BE73ED"/>
    <w:rsid w:val="00BE7B79"/>
    <w:rsid w:val="00BF0F7D"/>
    <w:rsid w:val="00BF1C3D"/>
    <w:rsid w:val="00BF2943"/>
    <w:rsid w:val="00BF32E6"/>
    <w:rsid w:val="00BF5602"/>
    <w:rsid w:val="00C01B2E"/>
    <w:rsid w:val="00C05B5A"/>
    <w:rsid w:val="00C06B31"/>
    <w:rsid w:val="00C104CA"/>
    <w:rsid w:val="00C152AC"/>
    <w:rsid w:val="00C158C9"/>
    <w:rsid w:val="00C21C47"/>
    <w:rsid w:val="00C24E67"/>
    <w:rsid w:val="00C25237"/>
    <w:rsid w:val="00C269B2"/>
    <w:rsid w:val="00C3358D"/>
    <w:rsid w:val="00C3614A"/>
    <w:rsid w:val="00C40431"/>
    <w:rsid w:val="00C411D8"/>
    <w:rsid w:val="00C438A5"/>
    <w:rsid w:val="00C44335"/>
    <w:rsid w:val="00C46E61"/>
    <w:rsid w:val="00C5172E"/>
    <w:rsid w:val="00C547D5"/>
    <w:rsid w:val="00C57E20"/>
    <w:rsid w:val="00C60AD5"/>
    <w:rsid w:val="00C61587"/>
    <w:rsid w:val="00C62A11"/>
    <w:rsid w:val="00C62EC8"/>
    <w:rsid w:val="00C63084"/>
    <w:rsid w:val="00C6572F"/>
    <w:rsid w:val="00C65CB2"/>
    <w:rsid w:val="00C6701E"/>
    <w:rsid w:val="00C7201A"/>
    <w:rsid w:val="00C72B06"/>
    <w:rsid w:val="00C742EB"/>
    <w:rsid w:val="00C74A1B"/>
    <w:rsid w:val="00C76A06"/>
    <w:rsid w:val="00C76FAC"/>
    <w:rsid w:val="00C824C0"/>
    <w:rsid w:val="00C82E97"/>
    <w:rsid w:val="00C832EC"/>
    <w:rsid w:val="00C836E4"/>
    <w:rsid w:val="00C84CD7"/>
    <w:rsid w:val="00C8742E"/>
    <w:rsid w:val="00C877D6"/>
    <w:rsid w:val="00C90346"/>
    <w:rsid w:val="00C91604"/>
    <w:rsid w:val="00C92313"/>
    <w:rsid w:val="00C96F4F"/>
    <w:rsid w:val="00CA513F"/>
    <w:rsid w:val="00CA51FF"/>
    <w:rsid w:val="00CA7E79"/>
    <w:rsid w:val="00CB4071"/>
    <w:rsid w:val="00CB4F99"/>
    <w:rsid w:val="00CB55D5"/>
    <w:rsid w:val="00CC31A5"/>
    <w:rsid w:val="00CC4622"/>
    <w:rsid w:val="00CD2051"/>
    <w:rsid w:val="00CD32D2"/>
    <w:rsid w:val="00CD49A1"/>
    <w:rsid w:val="00CD6A50"/>
    <w:rsid w:val="00CE13B4"/>
    <w:rsid w:val="00CE2C85"/>
    <w:rsid w:val="00CE45E1"/>
    <w:rsid w:val="00CE6017"/>
    <w:rsid w:val="00CE63F8"/>
    <w:rsid w:val="00CE7EAE"/>
    <w:rsid w:val="00CF2F6E"/>
    <w:rsid w:val="00D01C88"/>
    <w:rsid w:val="00D0219E"/>
    <w:rsid w:val="00D02816"/>
    <w:rsid w:val="00D02B5F"/>
    <w:rsid w:val="00D02C18"/>
    <w:rsid w:val="00D0514F"/>
    <w:rsid w:val="00D05455"/>
    <w:rsid w:val="00D05797"/>
    <w:rsid w:val="00D11084"/>
    <w:rsid w:val="00D149BB"/>
    <w:rsid w:val="00D1767B"/>
    <w:rsid w:val="00D20B77"/>
    <w:rsid w:val="00D20D4D"/>
    <w:rsid w:val="00D211A4"/>
    <w:rsid w:val="00D211FB"/>
    <w:rsid w:val="00D24DAF"/>
    <w:rsid w:val="00D25B2E"/>
    <w:rsid w:val="00D26AAA"/>
    <w:rsid w:val="00D26D5F"/>
    <w:rsid w:val="00D27144"/>
    <w:rsid w:val="00D27DE1"/>
    <w:rsid w:val="00D31AAE"/>
    <w:rsid w:val="00D344D7"/>
    <w:rsid w:val="00D345F2"/>
    <w:rsid w:val="00D41BDC"/>
    <w:rsid w:val="00D43C82"/>
    <w:rsid w:val="00D46701"/>
    <w:rsid w:val="00D47651"/>
    <w:rsid w:val="00D556F4"/>
    <w:rsid w:val="00D5663E"/>
    <w:rsid w:val="00D622B9"/>
    <w:rsid w:val="00D66C2C"/>
    <w:rsid w:val="00D67AC6"/>
    <w:rsid w:val="00D7019B"/>
    <w:rsid w:val="00D70AD3"/>
    <w:rsid w:val="00D70BF8"/>
    <w:rsid w:val="00D70C3A"/>
    <w:rsid w:val="00D7174C"/>
    <w:rsid w:val="00D739BA"/>
    <w:rsid w:val="00D75D4F"/>
    <w:rsid w:val="00D768D6"/>
    <w:rsid w:val="00D80714"/>
    <w:rsid w:val="00D810FC"/>
    <w:rsid w:val="00D81427"/>
    <w:rsid w:val="00D84E16"/>
    <w:rsid w:val="00D90509"/>
    <w:rsid w:val="00D92376"/>
    <w:rsid w:val="00DA0199"/>
    <w:rsid w:val="00DA216B"/>
    <w:rsid w:val="00DA413B"/>
    <w:rsid w:val="00DA414F"/>
    <w:rsid w:val="00DA6537"/>
    <w:rsid w:val="00DB0B53"/>
    <w:rsid w:val="00DB168E"/>
    <w:rsid w:val="00DB4EBC"/>
    <w:rsid w:val="00DB5121"/>
    <w:rsid w:val="00DC0D6B"/>
    <w:rsid w:val="00DC0F42"/>
    <w:rsid w:val="00DC290D"/>
    <w:rsid w:val="00DC42FF"/>
    <w:rsid w:val="00DC4478"/>
    <w:rsid w:val="00DC7F14"/>
    <w:rsid w:val="00DD00A8"/>
    <w:rsid w:val="00DD1B15"/>
    <w:rsid w:val="00DD1FDA"/>
    <w:rsid w:val="00DD2A29"/>
    <w:rsid w:val="00DD338A"/>
    <w:rsid w:val="00DE0428"/>
    <w:rsid w:val="00DE275F"/>
    <w:rsid w:val="00DE2AE1"/>
    <w:rsid w:val="00DE70C4"/>
    <w:rsid w:val="00DE71BB"/>
    <w:rsid w:val="00DF31D4"/>
    <w:rsid w:val="00DF4DC8"/>
    <w:rsid w:val="00DF6308"/>
    <w:rsid w:val="00DF6A4C"/>
    <w:rsid w:val="00E04DC3"/>
    <w:rsid w:val="00E076F0"/>
    <w:rsid w:val="00E10B1A"/>
    <w:rsid w:val="00E16E18"/>
    <w:rsid w:val="00E21F8F"/>
    <w:rsid w:val="00E30040"/>
    <w:rsid w:val="00E30B96"/>
    <w:rsid w:val="00E31F07"/>
    <w:rsid w:val="00E327E0"/>
    <w:rsid w:val="00E32CFA"/>
    <w:rsid w:val="00E3368C"/>
    <w:rsid w:val="00E34037"/>
    <w:rsid w:val="00E40E67"/>
    <w:rsid w:val="00E427B1"/>
    <w:rsid w:val="00E43EDD"/>
    <w:rsid w:val="00E4698D"/>
    <w:rsid w:val="00E50901"/>
    <w:rsid w:val="00E56815"/>
    <w:rsid w:val="00E56FD2"/>
    <w:rsid w:val="00E6074A"/>
    <w:rsid w:val="00E71A8C"/>
    <w:rsid w:val="00E764B8"/>
    <w:rsid w:val="00E86D64"/>
    <w:rsid w:val="00E9143C"/>
    <w:rsid w:val="00E917D3"/>
    <w:rsid w:val="00E93C9D"/>
    <w:rsid w:val="00E96A62"/>
    <w:rsid w:val="00EA048A"/>
    <w:rsid w:val="00EA3D2D"/>
    <w:rsid w:val="00EA67B8"/>
    <w:rsid w:val="00EB0258"/>
    <w:rsid w:val="00EB6A6A"/>
    <w:rsid w:val="00EC077D"/>
    <w:rsid w:val="00ED0128"/>
    <w:rsid w:val="00ED3278"/>
    <w:rsid w:val="00EE0410"/>
    <w:rsid w:val="00EE05C0"/>
    <w:rsid w:val="00EE1781"/>
    <w:rsid w:val="00EE350C"/>
    <w:rsid w:val="00EE7484"/>
    <w:rsid w:val="00EF31D4"/>
    <w:rsid w:val="00EF3493"/>
    <w:rsid w:val="00EF44AB"/>
    <w:rsid w:val="00EF5181"/>
    <w:rsid w:val="00EF67F1"/>
    <w:rsid w:val="00F03A2A"/>
    <w:rsid w:val="00F04242"/>
    <w:rsid w:val="00F04F7B"/>
    <w:rsid w:val="00F05369"/>
    <w:rsid w:val="00F06AFC"/>
    <w:rsid w:val="00F10254"/>
    <w:rsid w:val="00F11E66"/>
    <w:rsid w:val="00F20914"/>
    <w:rsid w:val="00F232BD"/>
    <w:rsid w:val="00F23E5B"/>
    <w:rsid w:val="00F25925"/>
    <w:rsid w:val="00F25FFC"/>
    <w:rsid w:val="00F325CF"/>
    <w:rsid w:val="00F326E7"/>
    <w:rsid w:val="00F32C3D"/>
    <w:rsid w:val="00F3333F"/>
    <w:rsid w:val="00F33A0F"/>
    <w:rsid w:val="00F37653"/>
    <w:rsid w:val="00F4145F"/>
    <w:rsid w:val="00F4343F"/>
    <w:rsid w:val="00F47E88"/>
    <w:rsid w:val="00F51014"/>
    <w:rsid w:val="00F51437"/>
    <w:rsid w:val="00F56A23"/>
    <w:rsid w:val="00F57388"/>
    <w:rsid w:val="00F573F3"/>
    <w:rsid w:val="00F57B1B"/>
    <w:rsid w:val="00F57CD5"/>
    <w:rsid w:val="00F6187B"/>
    <w:rsid w:val="00F630CD"/>
    <w:rsid w:val="00F644ED"/>
    <w:rsid w:val="00F6584D"/>
    <w:rsid w:val="00F66BE1"/>
    <w:rsid w:val="00F73E53"/>
    <w:rsid w:val="00F76C04"/>
    <w:rsid w:val="00F80F39"/>
    <w:rsid w:val="00F82CA4"/>
    <w:rsid w:val="00F858DF"/>
    <w:rsid w:val="00F87F30"/>
    <w:rsid w:val="00F91A33"/>
    <w:rsid w:val="00F91E17"/>
    <w:rsid w:val="00FA240C"/>
    <w:rsid w:val="00FA2C81"/>
    <w:rsid w:val="00FA361B"/>
    <w:rsid w:val="00FA7B01"/>
    <w:rsid w:val="00FB0564"/>
    <w:rsid w:val="00FB15EA"/>
    <w:rsid w:val="00FB3622"/>
    <w:rsid w:val="00FB46ED"/>
    <w:rsid w:val="00FB4B49"/>
    <w:rsid w:val="00FB53F2"/>
    <w:rsid w:val="00FC0C0F"/>
    <w:rsid w:val="00FC1E59"/>
    <w:rsid w:val="00FC21E4"/>
    <w:rsid w:val="00FC52D3"/>
    <w:rsid w:val="00FC6CF5"/>
    <w:rsid w:val="00FC727C"/>
    <w:rsid w:val="00FD4076"/>
    <w:rsid w:val="00FD4E56"/>
    <w:rsid w:val="00FD580C"/>
    <w:rsid w:val="00FD6031"/>
    <w:rsid w:val="00FD745F"/>
    <w:rsid w:val="00FE29C8"/>
    <w:rsid w:val="00FE2E73"/>
    <w:rsid w:val="00FE3149"/>
    <w:rsid w:val="00FE4FCF"/>
    <w:rsid w:val="00FF0556"/>
    <w:rsid w:val="00FF3602"/>
    <w:rsid w:val="00FF4A3F"/>
    <w:rsid w:val="00FF6CAB"/>
    <w:rsid w:val="00FF7E5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9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0CFB"/>
    <w:pPr>
      <w:autoSpaceDE w:val="0"/>
      <w:autoSpaceDN w:val="0"/>
      <w:adjustRightInd w:val="0"/>
      <w:spacing w:after="0" w:line="240" w:lineRule="auto"/>
    </w:pPr>
    <w:rPr>
      <w:rFonts w:ascii="Lato" w:hAnsi="Lato" w:cs="Lato"/>
      <w:color w:val="000000"/>
      <w:sz w:val="24"/>
      <w:szCs w:val="24"/>
    </w:rPr>
  </w:style>
  <w:style w:type="paragraph" w:styleId="FootnoteText">
    <w:name w:val="footnote text"/>
    <w:basedOn w:val="Normal"/>
    <w:link w:val="FootnoteTextChar"/>
    <w:uiPriority w:val="99"/>
    <w:semiHidden/>
    <w:unhideWhenUsed/>
    <w:rsid w:val="00C15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58C9"/>
    <w:rPr>
      <w:sz w:val="20"/>
      <w:szCs w:val="20"/>
    </w:rPr>
  </w:style>
  <w:style w:type="character" w:styleId="FootnoteReference">
    <w:name w:val="footnote reference"/>
    <w:basedOn w:val="DefaultParagraphFont"/>
    <w:uiPriority w:val="99"/>
    <w:semiHidden/>
    <w:unhideWhenUsed/>
    <w:rsid w:val="00C158C9"/>
    <w:rPr>
      <w:vertAlign w:val="superscript"/>
    </w:rPr>
  </w:style>
  <w:style w:type="paragraph" w:styleId="ListParagraph">
    <w:name w:val="List Paragraph"/>
    <w:basedOn w:val="Normal"/>
    <w:uiPriority w:val="34"/>
    <w:qFormat/>
    <w:rsid w:val="002A6A0A"/>
    <w:pPr>
      <w:ind w:left="720"/>
      <w:contextualSpacing/>
    </w:pPr>
  </w:style>
  <w:style w:type="paragraph" w:styleId="BalloonText">
    <w:name w:val="Balloon Text"/>
    <w:basedOn w:val="Normal"/>
    <w:link w:val="BalloonTextChar"/>
    <w:uiPriority w:val="99"/>
    <w:semiHidden/>
    <w:unhideWhenUsed/>
    <w:rsid w:val="009E3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C01"/>
    <w:rPr>
      <w:rFonts w:ascii="Segoe UI" w:hAnsi="Segoe UI" w:cs="Segoe UI"/>
      <w:sz w:val="18"/>
      <w:szCs w:val="18"/>
    </w:rPr>
  </w:style>
  <w:style w:type="paragraph" w:styleId="Header">
    <w:name w:val="header"/>
    <w:basedOn w:val="Normal"/>
    <w:link w:val="HeaderChar"/>
    <w:uiPriority w:val="99"/>
    <w:unhideWhenUsed/>
    <w:rsid w:val="00754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1"/>
  </w:style>
  <w:style w:type="paragraph" w:styleId="Footer">
    <w:name w:val="footer"/>
    <w:basedOn w:val="Normal"/>
    <w:link w:val="FooterChar"/>
    <w:uiPriority w:val="99"/>
    <w:unhideWhenUsed/>
    <w:rsid w:val="00754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1"/>
  </w:style>
  <w:style w:type="character" w:styleId="CommentReference">
    <w:name w:val="annotation reference"/>
    <w:basedOn w:val="DefaultParagraphFont"/>
    <w:uiPriority w:val="99"/>
    <w:semiHidden/>
    <w:unhideWhenUsed/>
    <w:rsid w:val="007C13BF"/>
    <w:rPr>
      <w:sz w:val="16"/>
      <w:szCs w:val="16"/>
    </w:rPr>
  </w:style>
  <w:style w:type="paragraph" w:styleId="CommentText">
    <w:name w:val="annotation text"/>
    <w:basedOn w:val="Normal"/>
    <w:link w:val="CommentTextChar"/>
    <w:uiPriority w:val="99"/>
    <w:semiHidden/>
    <w:unhideWhenUsed/>
    <w:rsid w:val="007C13BF"/>
    <w:pPr>
      <w:spacing w:line="240" w:lineRule="auto"/>
    </w:pPr>
    <w:rPr>
      <w:sz w:val="20"/>
      <w:szCs w:val="20"/>
    </w:rPr>
  </w:style>
  <w:style w:type="character" w:customStyle="1" w:styleId="CommentTextChar">
    <w:name w:val="Comment Text Char"/>
    <w:basedOn w:val="DefaultParagraphFont"/>
    <w:link w:val="CommentText"/>
    <w:uiPriority w:val="99"/>
    <w:semiHidden/>
    <w:rsid w:val="007C13BF"/>
    <w:rPr>
      <w:sz w:val="20"/>
      <w:szCs w:val="20"/>
    </w:rPr>
  </w:style>
  <w:style w:type="paragraph" w:styleId="CommentSubject">
    <w:name w:val="annotation subject"/>
    <w:basedOn w:val="CommentText"/>
    <w:next w:val="CommentText"/>
    <w:link w:val="CommentSubjectChar"/>
    <w:uiPriority w:val="99"/>
    <w:semiHidden/>
    <w:unhideWhenUsed/>
    <w:rsid w:val="007C13BF"/>
    <w:rPr>
      <w:b/>
      <w:bCs/>
    </w:rPr>
  </w:style>
  <w:style w:type="character" w:customStyle="1" w:styleId="CommentSubjectChar">
    <w:name w:val="Comment Subject Char"/>
    <w:basedOn w:val="CommentTextChar"/>
    <w:link w:val="CommentSubject"/>
    <w:uiPriority w:val="99"/>
    <w:semiHidden/>
    <w:rsid w:val="007C13B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0CFB"/>
    <w:pPr>
      <w:autoSpaceDE w:val="0"/>
      <w:autoSpaceDN w:val="0"/>
      <w:adjustRightInd w:val="0"/>
      <w:spacing w:after="0" w:line="240" w:lineRule="auto"/>
    </w:pPr>
    <w:rPr>
      <w:rFonts w:ascii="Lato" w:hAnsi="Lato" w:cs="Lato"/>
      <w:color w:val="000000"/>
      <w:sz w:val="24"/>
      <w:szCs w:val="24"/>
    </w:rPr>
  </w:style>
  <w:style w:type="paragraph" w:styleId="FootnoteText">
    <w:name w:val="footnote text"/>
    <w:basedOn w:val="Normal"/>
    <w:link w:val="FootnoteTextChar"/>
    <w:uiPriority w:val="99"/>
    <w:semiHidden/>
    <w:unhideWhenUsed/>
    <w:rsid w:val="00C15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58C9"/>
    <w:rPr>
      <w:sz w:val="20"/>
      <w:szCs w:val="20"/>
    </w:rPr>
  </w:style>
  <w:style w:type="character" w:styleId="FootnoteReference">
    <w:name w:val="footnote reference"/>
    <w:basedOn w:val="DefaultParagraphFont"/>
    <w:uiPriority w:val="99"/>
    <w:semiHidden/>
    <w:unhideWhenUsed/>
    <w:rsid w:val="00C158C9"/>
    <w:rPr>
      <w:vertAlign w:val="superscript"/>
    </w:rPr>
  </w:style>
  <w:style w:type="paragraph" w:styleId="ListParagraph">
    <w:name w:val="List Paragraph"/>
    <w:basedOn w:val="Normal"/>
    <w:uiPriority w:val="34"/>
    <w:qFormat/>
    <w:rsid w:val="002A6A0A"/>
    <w:pPr>
      <w:ind w:left="720"/>
      <w:contextualSpacing/>
    </w:pPr>
  </w:style>
  <w:style w:type="paragraph" w:styleId="BalloonText">
    <w:name w:val="Balloon Text"/>
    <w:basedOn w:val="Normal"/>
    <w:link w:val="BalloonTextChar"/>
    <w:uiPriority w:val="99"/>
    <w:semiHidden/>
    <w:unhideWhenUsed/>
    <w:rsid w:val="009E3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C01"/>
    <w:rPr>
      <w:rFonts w:ascii="Segoe UI" w:hAnsi="Segoe UI" w:cs="Segoe UI"/>
      <w:sz w:val="18"/>
      <w:szCs w:val="18"/>
    </w:rPr>
  </w:style>
  <w:style w:type="paragraph" w:styleId="Header">
    <w:name w:val="header"/>
    <w:basedOn w:val="Normal"/>
    <w:link w:val="HeaderChar"/>
    <w:uiPriority w:val="99"/>
    <w:unhideWhenUsed/>
    <w:rsid w:val="00754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1"/>
  </w:style>
  <w:style w:type="paragraph" w:styleId="Footer">
    <w:name w:val="footer"/>
    <w:basedOn w:val="Normal"/>
    <w:link w:val="FooterChar"/>
    <w:uiPriority w:val="99"/>
    <w:unhideWhenUsed/>
    <w:rsid w:val="00754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1"/>
  </w:style>
  <w:style w:type="character" w:styleId="CommentReference">
    <w:name w:val="annotation reference"/>
    <w:basedOn w:val="DefaultParagraphFont"/>
    <w:uiPriority w:val="99"/>
    <w:semiHidden/>
    <w:unhideWhenUsed/>
    <w:rsid w:val="007C13BF"/>
    <w:rPr>
      <w:sz w:val="16"/>
      <w:szCs w:val="16"/>
    </w:rPr>
  </w:style>
  <w:style w:type="paragraph" w:styleId="CommentText">
    <w:name w:val="annotation text"/>
    <w:basedOn w:val="Normal"/>
    <w:link w:val="CommentTextChar"/>
    <w:uiPriority w:val="99"/>
    <w:semiHidden/>
    <w:unhideWhenUsed/>
    <w:rsid w:val="007C13BF"/>
    <w:pPr>
      <w:spacing w:line="240" w:lineRule="auto"/>
    </w:pPr>
    <w:rPr>
      <w:sz w:val="20"/>
      <w:szCs w:val="20"/>
    </w:rPr>
  </w:style>
  <w:style w:type="character" w:customStyle="1" w:styleId="CommentTextChar">
    <w:name w:val="Comment Text Char"/>
    <w:basedOn w:val="DefaultParagraphFont"/>
    <w:link w:val="CommentText"/>
    <w:uiPriority w:val="99"/>
    <w:semiHidden/>
    <w:rsid w:val="007C13BF"/>
    <w:rPr>
      <w:sz w:val="20"/>
      <w:szCs w:val="20"/>
    </w:rPr>
  </w:style>
  <w:style w:type="paragraph" w:styleId="CommentSubject">
    <w:name w:val="annotation subject"/>
    <w:basedOn w:val="CommentText"/>
    <w:next w:val="CommentText"/>
    <w:link w:val="CommentSubjectChar"/>
    <w:uiPriority w:val="99"/>
    <w:semiHidden/>
    <w:unhideWhenUsed/>
    <w:rsid w:val="007C13BF"/>
    <w:rPr>
      <w:b/>
      <w:bCs/>
    </w:rPr>
  </w:style>
  <w:style w:type="character" w:customStyle="1" w:styleId="CommentSubjectChar">
    <w:name w:val="Comment Subject Char"/>
    <w:basedOn w:val="CommentTextChar"/>
    <w:link w:val="CommentSubject"/>
    <w:uiPriority w:val="99"/>
    <w:semiHidden/>
    <w:rsid w:val="007C13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8DA57-DF65-4E71-BA54-E74B0E02A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2916</Words>
  <Characters>16626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Ainsworth</dc:creator>
  <cp:lastModifiedBy>Colleen</cp:lastModifiedBy>
  <cp:revision>2</cp:revision>
  <cp:lastPrinted>2018-07-10T04:55:00Z</cp:lastPrinted>
  <dcterms:created xsi:type="dcterms:W3CDTF">2018-07-13T14:37:00Z</dcterms:created>
  <dcterms:modified xsi:type="dcterms:W3CDTF">2018-07-13T14:37:00Z</dcterms:modified>
</cp:coreProperties>
</file>